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media/image7.wmf" ContentType="image/x-wmf"/>
  <Override PartName="/word/media/image8.wmf" ContentType="image/x-wmf"/>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p>
      <w:pPr>
        <w:pStyle w:val="Normal"/>
        <w:rPr>
          <w:sz w:val="24"/>
          <w:szCs w:val="24"/>
        </w:rPr>
      </w:pPr>
      <w:r>
        <w:rPr>
          <w:sz w:val="24"/>
          <w:szCs w:val="24"/>
        </w:rPr>
      </w:r>
    </w:p>
    <w:tbl>
      <w:tblPr>
        <w:tblpPr w:vertAnchor="page" w:horzAnchor="margin" w:leftFromText="141" w:rightFromText="141" w:tblpX="70" w:tblpY="2641"/>
        <w:tblW w:w="9918" w:type="dxa"/>
        <w:jc w:val="left"/>
        <w:tblInd w:w="70" w:type="dxa"/>
        <w:tblLayout w:type="fixed"/>
        <w:tblCellMar>
          <w:top w:w="0" w:type="dxa"/>
          <w:left w:w="70" w:type="dxa"/>
          <w:bottom w:w="0" w:type="dxa"/>
          <w:right w:w="70" w:type="dxa"/>
        </w:tblCellMar>
        <w:tblLook w:firstRow="0" w:noVBand="0" w:lastRow="0" w:firstColumn="0" w:lastColumn="0" w:noHBand="0" w:val="0000"/>
      </w:tblPr>
      <w:tblGrid>
        <w:gridCol w:w="2831"/>
        <w:gridCol w:w="7086"/>
      </w:tblGrid>
      <w:tr>
        <w:trPr>
          <w:cantSplit w:val="true"/>
        </w:trPr>
        <w:tc>
          <w:tcPr>
            <w:tcW w:w="991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b/>
                <w:sz w:val="24"/>
                <w:szCs w:val="24"/>
              </w:rPr>
            </w:pPr>
            <w:r>
              <w:rPr>
                <w:b/>
                <w:sz w:val="24"/>
                <w:szCs w:val="24"/>
              </w:rPr>
              <w:t>EDITAL Nº 001/2024</w:t>
            </w:r>
          </w:p>
          <w:p>
            <w:pPr>
              <w:pStyle w:val="Normal"/>
              <w:widowControl w:val="false"/>
              <w:spacing w:lineRule="auto" w:line="276"/>
              <w:jc w:val="center"/>
              <w:rPr>
                <w:b/>
                <w:sz w:val="24"/>
                <w:szCs w:val="24"/>
              </w:rPr>
            </w:pPr>
            <w:r>
              <w:rPr>
                <w:b/>
                <w:sz w:val="24"/>
                <w:szCs w:val="24"/>
              </w:rPr>
              <w:t>PREGÃO ELETRÔNICO Nº 0002/2024</w:t>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both"/>
              <w:rPr>
                <w:sz w:val="24"/>
                <w:szCs w:val="24"/>
              </w:rPr>
            </w:pPr>
            <w:r>
              <w:rPr>
                <w:sz w:val="24"/>
                <w:szCs w:val="24"/>
              </w:rPr>
              <w:t>(Regido nos termos da Lei nº 14.133, de 1º de abril de 2021, da Instrução Normativa SEGES nº 73, de 30 de setembro de 2022, Decreto nº 11.462/2023, Lei Complementar n.º 123/2006, 147/2014 e demais legislação aplicável e, ainda, de acordo com as condições estabelecidas neste Edital).</w:t>
            </w:r>
          </w:p>
        </w:tc>
      </w:tr>
      <w:tr>
        <w:trPr>
          <w:trHeight w:val="442" w:hRule="atLeast"/>
        </w:trPr>
        <w:tc>
          <w:tcPr>
            <w:tcW w:w="28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rPr>
                <w:sz w:val="24"/>
                <w:szCs w:val="24"/>
              </w:rPr>
            </w:pPr>
            <w:r>
              <w:rPr>
                <w:sz w:val="24"/>
                <w:szCs w:val="24"/>
              </w:rPr>
              <w:t>Tipo:</w:t>
            </w:r>
          </w:p>
        </w:tc>
        <w:tc>
          <w:tcPr>
            <w:tcW w:w="7086" w:type="dxa"/>
            <w:tcBorders>
              <w:top w:val="single" w:sz="4" w:space="0" w:color="000000"/>
              <w:left w:val="single" w:sz="4" w:space="0" w:color="000000"/>
              <w:bottom w:val="single" w:sz="4" w:space="0" w:color="000000"/>
              <w:right w:val="single" w:sz="4" w:space="0" w:color="000000"/>
            </w:tcBorders>
            <w:vAlign w:val="center"/>
          </w:tcPr>
          <w:p>
            <w:pPr>
              <w:pStyle w:val="Heading2"/>
              <w:keepNext w:val="false"/>
              <w:widowControl w:val="false"/>
              <w:spacing w:lineRule="auto" w:line="276" w:before="200" w:after="0"/>
              <w:rPr>
                <w:color w:val="auto"/>
                <w:szCs w:val="24"/>
              </w:rPr>
            </w:pPr>
            <w:r>
              <w:rPr>
                <w:color w:val="auto"/>
                <w:szCs w:val="24"/>
              </w:rPr>
              <w:t>“</w:t>
            </w:r>
            <w:r>
              <w:rPr>
                <w:color w:val="auto"/>
                <w:szCs w:val="24"/>
              </w:rPr>
              <w:t>MENOR PREÇO POR ITEM”</w:t>
            </w:r>
          </w:p>
        </w:tc>
      </w:tr>
      <w:tr>
        <w:trPr/>
        <w:tc>
          <w:tcPr>
            <w:tcW w:w="28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4"/>
                <w:szCs w:val="24"/>
              </w:rPr>
            </w:pPr>
            <w:r>
              <w:rPr>
                <w:sz w:val="24"/>
                <w:szCs w:val="24"/>
              </w:rPr>
              <w:t>Objeto:</w:t>
            </w:r>
          </w:p>
        </w:tc>
        <w:tc>
          <w:tcPr>
            <w:tcW w:w="70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b/>
                <w:sz w:val="24"/>
                <w:szCs w:val="24"/>
              </w:rPr>
            </w:pPr>
            <w:r>
              <w:rPr>
                <w:sz w:val="24"/>
                <w:szCs w:val="24"/>
              </w:rPr>
              <w:t>CONTRATAÇÃO DE EMPRESA PARA A PRESTAÇÃO DE SERVIÇO DE EMISSÃO DE PASSAGENS AÉREA E RODOVIÁRIAS CONFORME AS ESPECIFICAÇÕES E CONDIÇÕES ESTABELECIDAS NESTE EDITAL E SEUS ANEXOS.</w:t>
            </w:r>
          </w:p>
        </w:tc>
      </w:tr>
      <w:tr>
        <w:trPr>
          <w:trHeight w:val="429" w:hRule="atLeast"/>
          <w:cantSplit w:val="true"/>
        </w:trPr>
        <w:tc>
          <w:tcPr>
            <w:tcW w:w="9917"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b/>
                <w:sz w:val="24"/>
                <w:szCs w:val="24"/>
              </w:rPr>
            </w:pPr>
            <w:r>
              <w:rPr>
                <w:b/>
                <w:sz w:val="24"/>
                <w:szCs w:val="24"/>
              </w:rPr>
              <w:t>SESSÃO PÚBLICA PARA DISPUTA DE LANCES</w:t>
            </w:r>
          </w:p>
        </w:tc>
      </w:tr>
      <w:tr>
        <w:trPr/>
        <w:tc>
          <w:tcPr>
            <w:tcW w:w="2831" w:type="dxa"/>
            <w:tcBorders>
              <w:top w:val="single" w:sz="4" w:space="0" w:color="000000"/>
              <w:left w:val="single" w:sz="4" w:space="0" w:color="000000"/>
              <w:bottom w:val="single" w:sz="4" w:space="0" w:color="000000"/>
              <w:right w:val="single" w:sz="4" w:space="0" w:color="000000"/>
            </w:tcBorders>
          </w:tcPr>
          <w:p>
            <w:pPr>
              <w:pStyle w:val="BodyText"/>
              <w:widowControl w:val="false"/>
              <w:spacing w:lineRule="auto" w:line="276"/>
              <w:rPr>
                <w:szCs w:val="24"/>
              </w:rPr>
            </w:pPr>
            <w:r>
              <w:rPr>
                <w:szCs w:val="24"/>
              </w:rPr>
              <w:t>Dia:</w:t>
            </w:r>
          </w:p>
        </w:tc>
        <w:tc>
          <w:tcPr>
            <w:tcW w:w="70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b/>
                <w:sz w:val="24"/>
                <w:szCs w:val="24"/>
              </w:rPr>
            </w:pPr>
            <w:r>
              <w:rPr>
                <w:b/>
                <w:sz w:val="24"/>
                <w:szCs w:val="24"/>
              </w:rPr>
              <w:t xml:space="preserve"> </w:t>
            </w:r>
            <w:r>
              <w:rPr>
                <w:b/>
                <w:sz w:val="24"/>
                <w:szCs w:val="24"/>
              </w:rPr>
              <w:t>22/02/2024</w:t>
            </w:r>
          </w:p>
        </w:tc>
      </w:tr>
      <w:tr>
        <w:trPr>
          <w:trHeight w:val="94" w:hRule="atLeast"/>
        </w:trPr>
        <w:tc>
          <w:tcPr>
            <w:tcW w:w="28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4"/>
                <w:szCs w:val="24"/>
              </w:rPr>
            </w:pPr>
            <w:r>
              <w:rPr>
                <w:sz w:val="24"/>
                <w:szCs w:val="24"/>
              </w:rPr>
              <w:t>Hora:</w:t>
            </w:r>
          </w:p>
        </w:tc>
        <w:tc>
          <w:tcPr>
            <w:tcW w:w="70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b/>
                <w:sz w:val="24"/>
                <w:szCs w:val="24"/>
              </w:rPr>
            </w:pPr>
            <w:r>
              <w:rPr>
                <w:b/>
                <w:sz w:val="24"/>
                <w:szCs w:val="24"/>
              </w:rPr>
              <w:t>10:00 horas (Horário de Brasília – DF)</w:t>
            </w:r>
          </w:p>
        </w:tc>
      </w:tr>
      <w:tr>
        <w:trPr/>
        <w:tc>
          <w:tcPr>
            <w:tcW w:w="28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4"/>
                <w:szCs w:val="24"/>
              </w:rPr>
            </w:pPr>
            <w:r>
              <w:rPr>
                <w:sz w:val="24"/>
                <w:szCs w:val="24"/>
              </w:rPr>
              <w:t>Site:</w:t>
            </w:r>
          </w:p>
        </w:tc>
        <w:tc>
          <w:tcPr>
            <w:tcW w:w="70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b/>
                <w:sz w:val="24"/>
                <w:szCs w:val="24"/>
              </w:rPr>
            </w:pPr>
            <w:r>
              <w:rPr>
                <w:b/>
                <w:sz w:val="24"/>
                <w:szCs w:val="24"/>
              </w:rPr>
              <w:t>http://www.gov.br/compras</w:t>
            </w:r>
          </w:p>
        </w:tc>
      </w:tr>
      <w:tr>
        <w:trPr>
          <w:trHeight w:val="724" w:hRule="atLeast"/>
        </w:trPr>
        <w:tc>
          <w:tcPr>
            <w:tcW w:w="28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4"/>
                <w:szCs w:val="24"/>
              </w:rPr>
            </w:pPr>
            <w:r>
              <w:rPr>
                <w:sz w:val="24"/>
                <w:szCs w:val="24"/>
              </w:rPr>
              <w:t>Local:</w:t>
            </w:r>
          </w:p>
        </w:tc>
        <w:tc>
          <w:tcPr>
            <w:tcW w:w="70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b/>
                <w:sz w:val="24"/>
                <w:szCs w:val="24"/>
              </w:rPr>
            </w:pPr>
            <w:r>
              <w:rPr>
                <w:sz w:val="24"/>
                <w:szCs w:val="24"/>
              </w:rPr>
              <w:t>Rua 05, Quadra 12, Lote 07, Setor A, Centro Político Administrativo, Cuiabá/MT, CEP 78.049-035</w:t>
            </w:r>
            <w:r>
              <w:rPr>
                <w:b/>
                <w:sz w:val="24"/>
                <w:szCs w:val="24"/>
              </w:rPr>
              <w:t xml:space="preserve"> (Sala de Licitações).</w:t>
            </w:r>
          </w:p>
        </w:tc>
      </w:tr>
      <w:tr>
        <w:trPr>
          <w:cantSplit w:val="true"/>
        </w:trPr>
        <w:tc>
          <w:tcPr>
            <w:tcW w:w="991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ind w:left="142" w:right="-70"/>
              <w:jc w:val="both"/>
              <w:rPr>
                <w:b/>
                <w:sz w:val="24"/>
                <w:szCs w:val="24"/>
              </w:rPr>
            </w:pPr>
            <w:r>
              <w:rPr>
                <w:b/>
                <w:sz w:val="24"/>
                <w:szCs w:val="24"/>
              </w:rPr>
              <w:t>LOCAL, DIAS E HORÁRIOS PARA LEITURA OU OBTENÇÃO DESTE EDITAL</w:t>
            </w:r>
          </w:p>
        </w:tc>
      </w:tr>
      <w:tr>
        <w:trPr>
          <w:trHeight w:val="330" w:hRule="atLeast"/>
          <w:cantSplit w:val="true"/>
        </w:trPr>
        <w:tc>
          <w:tcPr>
            <w:tcW w:w="28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sz w:val="24"/>
                <w:szCs w:val="24"/>
              </w:rPr>
            </w:pPr>
            <w:r>
              <w:rPr>
                <w:sz w:val="24"/>
                <w:szCs w:val="24"/>
              </w:rPr>
              <w:t>Dias:</w:t>
            </w:r>
          </w:p>
        </w:tc>
        <w:tc>
          <w:tcPr>
            <w:tcW w:w="70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sz w:val="24"/>
                <w:szCs w:val="24"/>
              </w:rPr>
            </w:pPr>
            <w:r>
              <w:rPr>
                <w:sz w:val="24"/>
                <w:szCs w:val="24"/>
              </w:rPr>
              <w:t>Segunda a Sexta-feira (em dias de expediente)</w:t>
            </w:r>
          </w:p>
        </w:tc>
      </w:tr>
      <w:tr>
        <w:trPr>
          <w:trHeight w:val="330" w:hRule="atLeast"/>
          <w:cantSplit w:val="true"/>
        </w:trPr>
        <w:tc>
          <w:tcPr>
            <w:tcW w:w="28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sz w:val="24"/>
                <w:szCs w:val="24"/>
              </w:rPr>
            </w:pPr>
            <w:r>
              <w:rPr>
                <w:sz w:val="24"/>
                <w:szCs w:val="24"/>
              </w:rPr>
              <w:t>Horários:</w:t>
            </w:r>
          </w:p>
        </w:tc>
        <w:tc>
          <w:tcPr>
            <w:tcW w:w="70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sz w:val="24"/>
                <w:szCs w:val="24"/>
              </w:rPr>
            </w:pPr>
            <w:r>
              <w:rPr>
                <w:sz w:val="24"/>
                <w:szCs w:val="24"/>
              </w:rPr>
              <w:t>Das 08:00h às 17:00h – Horário do Mato Grosso.</w:t>
            </w:r>
          </w:p>
        </w:tc>
      </w:tr>
      <w:tr>
        <w:trPr>
          <w:trHeight w:val="330" w:hRule="atLeast"/>
          <w:cantSplit w:val="true"/>
        </w:trPr>
        <w:tc>
          <w:tcPr>
            <w:tcW w:w="28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sz w:val="24"/>
                <w:szCs w:val="24"/>
              </w:rPr>
            </w:pPr>
            <w:r>
              <w:rPr>
                <w:sz w:val="24"/>
                <w:szCs w:val="24"/>
              </w:rPr>
              <w:t>LOCAL:</w:t>
            </w:r>
          </w:p>
        </w:tc>
        <w:tc>
          <w:tcPr>
            <w:tcW w:w="70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sz w:val="24"/>
                <w:szCs w:val="24"/>
              </w:rPr>
            </w:pPr>
            <w:r>
              <w:rPr>
                <w:sz w:val="24"/>
                <w:szCs w:val="24"/>
              </w:rPr>
              <w:t xml:space="preserve">Rua 05, Quadra 12, Lote 07, Setor A, Centro Político Administrativo, Cuiabá/MT, CEP 78.049-035 </w:t>
            </w:r>
            <w:r>
              <w:rPr>
                <w:b/>
                <w:sz w:val="24"/>
                <w:szCs w:val="24"/>
              </w:rPr>
              <w:t>(Sala de Licitações).</w:t>
            </w:r>
          </w:p>
        </w:tc>
      </w:tr>
      <w:tr>
        <w:trPr>
          <w:trHeight w:val="3047" w:hRule="atLeast"/>
          <w:cantSplit w:val="true"/>
        </w:trPr>
        <w:tc>
          <w:tcPr>
            <w:tcW w:w="9917" w:type="dxa"/>
            <w:gridSpan w:val="2"/>
            <w:tcBorders>
              <w:top w:val="single" w:sz="4" w:space="0" w:color="000000"/>
              <w:left w:val="single" w:sz="4" w:space="0" w:color="000000"/>
              <w:bottom w:val="single" w:sz="4" w:space="0" w:color="000000"/>
              <w:right w:val="single" w:sz="4" w:space="0" w:color="000000"/>
            </w:tcBorders>
          </w:tcPr>
          <w:p>
            <w:pPr>
              <w:pStyle w:val="Heading3"/>
              <w:keepNext w:val="false"/>
              <w:widowControl w:val="false"/>
              <w:spacing w:lineRule="auto" w:line="276" w:before="40" w:after="0"/>
              <w:jc w:val="center"/>
              <w:rPr>
                <w:rFonts w:ascii="Times New Roman" w:hAnsi="Times New Roman" w:cs="Times New Roman"/>
                <w:b/>
                <w:bCs/>
                <w:color w:themeColor="text1" w:val="000000"/>
              </w:rPr>
            </w:pPr>
            <w:r>
              <w:rPr>
                <w:rFonts w:cs="Times New Roman" w:ascii="Times New Roman" w:hAnsi="Times New Roman"/>
                <w:b/>
                <w:bCs/>
                <w:color w:themeColor="text1" w:val="000000"/>
              </w:rPr>
              <w:t xml:space="preserve">RETIRADA DE EDITAIS PELA </w:t>
            </w:r>
            <w:r>
              <w:rPr>
                <w:rFonts w:cs="Times New Roman" w:ascii="Times New Roman" w:hAnsi="Times New Roman"/>
                <w:b/>
                <w:bCs/>
                <w:iCs/>
                <w:color w:themeColor="text1" w:val="000000"/>
              </w:rPr>
              <w:t>INTERNET</w:t>
            </w:r>
          </w:p>
          <w:p>
            <w:pPr>
              <w:pStyle w:val="Normal"/>
              <w:widowControl w:val="false"/>
              <w:spacing w:lineRule="auto" w:line="276"/>
              <w:jc w:val="center"/>
              <w:rPr/>
            </w:pPr>
            <w:r>
              <w:rPr>
                <w:b/>
                <w:bCs/>
                <w:sz w:val="24"/>
                <w:szCs w:val="24"/>
              </w:rPr>
              <w:t xml:space="preserve">Retire o Edital acessando a página </w:t>
            </w:r>
            <w:r>
              <w:rPr>
                <w:b/>
                <w:sz w:val="24"/>
                <w:szCs w:val="24"/>
              </w:rPr>
              <w:t xml:space="preserve"> </w:t>
            </w:r>
            <w:hyperlink r:id="rId2">
              <w:r>
                <w:rPr>
                  <w:rStyle w:val="Hyperlink"/>
                  <w:b/>
                  <w:sz w:val="24"/>
                  <w:szCs w:val="24"/>
                </w:rPr>
                <w:t>http://transparencia.cromt.org.br/</w:t>
              </w:r>
            </w:hyperlink>
            <w:r>
              <w:rPr>
                <w:rStyle w:val="Hyperlink"/>
                <w:b/>
                <w:sz w:val="24"/>
                <w:szCs w:val="24"/>
              </w:rPr>
              <w:t xml:space="preserve"> e </w:t>
            </w:r>
            <w:r>
              <w:rPr/>
              <w:t xml:space="preserve"> </w:t>
            </w:r>
            <w:r>
              <w:rPr>
                <w:rStyle w:val="Hyperlink"/>
                <w:b/>
                <w:sz w:val="24"/>
                <w:szCs w:val="24"/>
              </w:rPr>
              <w:t>http://www.comprasnet.gov.br/</w:t>
            </w:r>
          </w:p>
          <w:p>
            <w:pPr>
              <w:pStyle w:val="Normal"/>
              <w:widowControl w:val="false"/>
              <w:spacing w:lineRule="auto" w:line="276"/>
              <w:jc w:val="center"/>
              <w:rPr>
                <w:bCs/>
                <w:sz w:val="24"/>
                <w:szCs w:val="24"/>
              </w:rPr>
            </w:pPr>
            <w:r>
              <w:rPr>
                <w:bCs/>
                <w:sz w:val="24"/>
                <w:szCs w:val="24"/>
              </w:rPr>
            </w:r>
          </w:p>
          <w:p>
            <w:pPr>
              <w:pStyle w:val="Normal"/>
              <w:widowControl w:val="false"/>
              <w:spacing w:lineRule="auto" w:line="276"/>
              <w:jc w:val="both"/>
              <w:rPr>
                <w:b/>
                <w:sz w:val="24"/>
                <w:szCs w:val="24"/>
              </w:rPr>
            </w:pPr>
            <w:r>
              <w:rPr>
                <w:bCs/>
                <w:sz w:val="24"/>
                <w:szCs w:val="24"/>
              </w:rPr>
              <w:t xml:space="preserve">Para solicitação do edital, enviar pedido ao Conselho Regional de Odontologia do Mato Grosso via e-mail: </w:t>
            </w:r>
            <w:r>
              <w:rPr>
                <w:b/>
                <w:bCs/>
                <w:sz w:val="24"/>
                <w:szCs w:val="24"/>
              </w:rPr>
              <w:t>licitacao</w:t>
            </w:r>
            <w:r>
              <w:rPr>
                <w:b/>
                <w:bCs/>
                <w:sz w:val="24"/>
                <w:szCs w:val="24"/>
                <w:shd w:fill="FFFFFF" w:val="clear"/>
              </w:rPr>
              <w:t>@crom</w:t>
            </w:r>
            <w:r>
              <w:rPr>
                <w:b/>
                <w:sz w:val="24"/>
                <w:szCs w:val="24"/>
                <w:shd w:fill="FFFFFF" w:val="clear"/>
              </w:rPr>
              <w:t>t.org.br</w:t>
            </w:r>
            <w:r>
              <w:rPr>
                <w:bCs/>
                <w:sz w:val="24"/>
                <w:szCs w:val="24"/>
              </w:rPr>
              <w:t xml:space="preserve">, conforme modelo </w:t>
            </w:r>
            <w:r>
              <w:rPr>
                <w:bCs/>
                <w:color w:themeColor="text1" w:val="000000"/>
                <w:sz w:val="24"/>
                <w:szCs w:val="24"/>
              </w:rPr>
              <w:t xml:space="preserve">do </w:t>
            </w:r>
            <w:r>
              <w:rPr>
                <w:bCs/>
                <w:color w:val="1C1C1C"/>
                <w:sz w:val="24"/>
                <w:szCs w:val="24"/>
              </w:rPr>
              <w:t>Anexo VI</w:t>
            </w:r>
            <w:r>
              <w:rPr>
                <w:bCs/>
                <w:color w:themeColor="text1" w:val="000000"/>
                <w:sz w:val="24"/>
                <w:szCs w:val="24"/>
              </w:rPr>
              <w:t xml:space="preserve"> deste </w:t>
            </w:r>
            <w:r>
              <w:rPr>
                <w:bCs/>
                <w:sz w:val="24"/>
                <w:szCs w:val="24"/>
              </w:rPr>
              <w:t>Edital, para eventuais informações aos interessados, quando necessário.</w:t>
            </w:r>
          </w:p>
        </w:tc>
      </w:tr>
    </w:tbl>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jc w:val="center"/>
        <w:rPr>
          <w:sz w:val="24"/>
          <w:szCs w:val="24"/>
        </w:rPr>
      </w:pPr>
      <w:r>
        <w:rPr>
          <w:sz w:val="24"/>
          <w:szCs w:val="24"/>
        </w:rPr>
      </w:r>
    </w:p>
    <w:p>
      <w:pPr>
        <w:pStyle w:val="Normal"/>
        <w:jc w:val="center"/>
        <w:rPr>
          <w:sz w:val="24"/>
          <w:szCs w:val="24"/>
        </w:rPr>
      </w:pPr>
      <w:r>
        <w:rPr>
          <w:sz w:val="24"/>
          <w:szCs w:val="24"/>
        </w:rPr>
      </w:r>
    </w:p>
    <w:p>
      <w:pPr>
        <w:pStyle w:val="Heading3"/>
        <w:keepNext w:val="false"/>
        <w:widowControl w:val="false"/>
        <w:spacing w:lineRule="auto" w:line="276"/>
        <w:jc w:val="center"/>
        <w:rPr>
          <w:rFonts w:ascii="Times New Roman" w:hAnsi="Times New Roman" w:cs="Times New Roman"/>
          <w:color w:themeColor="text1" w:val="000000"/>
        </w:rPr>
      </w:pPr>
      <w:r>
        <w:rPr>
          <w:rFonts w:cs="Times New Roman" w:ascii="Times New Roman" w:hAnsi="Times New Roman"/>
          <w:color w:themeColor="text1" w:val="000000"/>
        </w:rPr>
        <w:t>Edital n° 0001/2024</w:t>
      </w:r>
    </w:p>
    <w:p>
      <w:pPr>
        <w:pStyle w:val="Heading3"/>
        <w:keepNext w:val="false"/>
        <w:widowControl w:val="false"/>
        <w:spacing w:lineRule="auto" w:line="276"/>
        <w:jc w:val="center"/>
        <w:rPr>
          <w:rFonts w:ascii="Times New Roman" w:hAnsi="Times New Roman" w:cs="Times New Roman"/>
          <w:color w:themeColor="text1" w:val="000000"/>
        </w:rPr>
      </w:pPr>
      <w:r>
        <w:rPr>
          <w:rFonts w:cs="Times New Roman" w:ascii="Times New Roman" w:hAnsi="Times New Roman"/>
          <w:color w:themeColor="text1" w:val="000000"/>
        </w:rPr>
        <w:t>Pregão Eletrônico nº 0002/2024</w:t>
      </w:r>
    </w:p>
    <w:p>
      <w:pPr>
        <w:pStyle w:val="Normal"/>
        <w:widowControl w:val="false"/>
        <w:spacing w:lineRule="auto" w:line="276"/>
        <w:jc w:val="center"/>
        <w:rPr>
          <w:sz w:val="24"/>
          <w:szCs w:val="24"/>
        </w:rPr>
      </w:pPr>
      <w:r>
        <w:rPr>
          <w:sz w:val="24"/>
          <w:szCs w:val="24"/>
        </w:rPr>
      </w:r>
    </w:p>
    <w:p>
      <w:pPr>
        <w:pStyle w:val="Normal"/>
        <w:widowControl w:val="false"/>
        <w:tabs>
          <w:tab w:val="clear" w:pos="708"/>
          <w:tab w:val="left" w:pos="1134" w:leader="none"/>
        </w:tabs>
        <w:spacing w:lineRule="auto" w:line="276"/>
        <w:ind w:right="2"/>
        <w:jc w:val="both"/>
        <w:rPr>
          <w:sz w:val="24"/>
          <w:szCs w:val="24"/>
        </w:rPr>
      </w:pPr>
      <w:r>
        <w:rPr>
          <w:sz w:val="24"/>
          <w:szCs w:val="24"/>
        </w:rPr>
        <w:tab/>
        <w:t xml:space="preserve">O </w:t>
      </w:r>
      <w:r>
        <w:rPr>
          <w:b/>
          <w:sz w:val="24"/>
          <w:szCs w:val="24"/>
        </w:rPr>
        <w:t>Conselho Regional de Odontologia de Mato Grosso</w:t>
      </w:r>
      <w:r>
        <w:rPr>
          <w:sz w:val="24"/>
          <w:szCs w:val="24"/>
        </w:rPr>
        <w:t>, por intermédio do Gerencia Geral,</w:t>
      </w:r>
      <w:r>
        <w:rPr>
          <w:b/>
          <w:sz w:val="24"/>
          <w:szCs w:val="24"/>
        </w:rPr>
        <w:t xml:space="preserve"> </w:t>
      </w:r>
      <w:r>
        <w:rPr>
          <w:sz w:val="24"/>
          <w:szCs w:val="24"/>
        </w:rPr>
        <w:t xml:space="preserve">através do(a) Pregoeiro(a) (a) designado (a) pela Portaria nº 01/2024 de 05 de janeiro 2024, levam ao conhecimento dos interessados que, na forma da </w:t>
      </w:r>
      <w:r>
        <w:rPr>
          <w:b/>
          <w:sz w:val="24"/>
          <w:szCs w:val="24"/>
        </w:rPr>
        <w:t xml:space="preserve">Lei nº 14.133, de 1º de abril de 2021, da Instrução Normativa SEGES nº 73, de 30 de setembro de 2022, Decreto nº 11.462/2023,  Lei Complementar n.º 123/2006, 147/2014 e demais legislação aplicável e, ainda, de acordo com as condições estabelecidas neste Edital </w:t>
      </w:r>
      <w:r>
        <w:rPr>
          <w:sz w:val="24"/>
          <w:szCs w:val="24"/>
        </w:rPr>
        <w:t xml:space="preserve">e de outras normas aplicáveis ao objeto deste certame, farão realizar licitação na modalidade </w:t>
      </w:r>
      <w:r>
        <w:rPr>
          <w:b/>
          <w:sz w:val="24"/>
          <w:szCs w:val="24"/>
        </w:rPr>
        <w:t>PREGÃO ELETRÔNICO</w:t>
      </w:r>
      <w:r>
        <w:rPr>
          <w:sz w:val="24"/>
          <w:szCs w:val="24"/>
        </w:rPr>
        <w:t xml:space="preserve">, do tipo </w:t>
      </w:r>
      <w:r>
        <w:rPr>
          <w:b/>
          <w:sz w:val="24"/>
          <w:szCs w:val="24"/>
        </w:rPr>
        <w:t xml:space="preserve">MENOR PREÇO, </w:t>
      </w:r>
      <w:r>
        <w:rPr>
          <w:sz w:val="24"/>
          <w:szCs w:val="24"/>
        </w:rPr>
        <w:t>destinada à contratação do objeto de que trata o Anexo I do presente Edital.</w:t>
      </w:r>
    </w:p>
    <w:p>
      <w:pPr>
        <w:pStyle w:val="Default"/>
        <w:widowControl w:val="false"/>
        <w:spacing w:lineRule="auto" w:line="276"/>
        <w:ind w:firstLine="1134"/>
        <w:jc w:val="both"/>
        <w:rPr>
          <w:color w:val="auto"/>
        </w:rPr>
      </w:pPr>
      <w:r>
        <w:rPr>
          <w:color w:val="auto"/>
        </w:rPr>
        <w:t xml:space="preserve">O PREGÃO ELETRÔNICO será realizado em sessão pública, via INTERNET, mediante condições de segurança - criptografia e autenticação - em todas as suas fases. Os trabalhos serão conduzidos por servidor integrante do quadro o CROMT, denominado (a) Pregoeiro (a) e equipe de apoio, mediante a inserção e monitoramento de dados gerados </w:t>
      </w:r>
      <w:r>
        <w:rPr>
          <w:i/>
          <w:iCs/>
          <w:color w:val="auto"/>
        </w:rPr>
        <w:t xml:space="preserve">ou transferidos para o aplicativo, </w:t>
      </w:r>
      <w:r>
        <w:rPr>
          <w:color w:val="auto"/>
        </w:rPr>
        <w:t xml:space="preserve">constante da página eletrônica da COMPRASNET – </w:t>
      </w:r>
      <w:r>
        <w:rPr>
          <w:rStyle w:val="Hyperlink"/>
          <w:rFonts w:eastAsia="Times New Roman"/>
          <w:lang w:eastAsia="pt-BR"/>
        </w:rPr>
        <w:t>http://www.comprasnet.gov.br/.</w:t>
      </w:r>
      <w:r>
        <w:rPr>
          <w:color w:val="FF0000"/>
        </w:rPr>
        <w:t xml:space="preserve">  </w:t>
      </w:r>
    </w:p>
    <w:p>
      <w:pPr>
        <w:pStyle w:val="Normal"/>
        <w:widowControl w:val="false"/>
        <w:spacing w:lineRule="auto" w:line="276"/>
        <w:ind w:firstLine="1134"/>
        <w:jc w:val="both"/>
        <w:rPr>
          <w:sz w:val="24"/>
          <w:szCs w:val="24"/>
        </w:rPr>
      </w:pPr>
      <w:r>
        <w:rPr>
          <w:sz w:val="24"/>
          <w:szCs w:val="24"/>
        </w:rPr>
        <w:t xml:space="preserve">O instrumento convocatório e todos os elementos integrantes encontram-se disponíveis, para conhecimento e retirada, no endereço eletrônico; </w:t>
      </w:r>
      <w:r>
        <w:rPr>
          <w:rStyle w:val="Hyperlink"/>
          <w:sz w:val="24"/>
          <w:szCs w:val="24"/>
        </w:rPr>
        <w:t>http://www.comprasnet.gov.br/</w:t>
      </w:r>
      <w:r>
        <w:rPr>
          <w:color w:themeColor="accent5" w:themeShade="bf" w:val="2F5496"/>
          <w:sz w:val="40"/>
          <w:szCs w:val="40"/>
        </w:rPr>
        <w:t xml:space="preserve"> </w:t>
      </w:r>
      <w:r>
        <w:rPr>
          <w:sz w:val="24"/>
          <w:szCs w:val="24"/>
        </w:rPr>
        <w:t xml:space="preserve">e </w:t>
      </w:r>
      <w:hyperlink r:id="rId3">
        <w:r>
          <w:rPr>
            <w:rStyle w:val="Hyperlink"/>
            <w:sz w:val="24"/>
            <w:szCs w:val="24"/>
          </w:rPr>
          <w:t>http://www.cromt.org.br/</w:t>
        </w:r>
      </w:hyperlink>
      <w:r>
        <w:rPr>
          <w:sz w:val="24"/>
          <w:szCs w:val="24"/>
        </w:rPr>
        <w:t xml:space="preserve"> ícone “Portal Transparência”</w:t>
      </w:r>
    </w:p>
    <w:p>
      <w:pPr>
        <w:pStyle w:val="Heading1"/>
        <w:keepNext w:val="false"/>
        <w:widowControl w:val="false"/>
        <w:spacing w:lineRule="auto" w:line="276"/>
        <w:jc w:val="both"/>
        <w:rPr/>
      </w:pPr>
      <w:r>
        <w:rPr/>
      </w:r>
    </w:p>
    <w:p>
      <w:pPr>
        <w:pStyle w:val="Heading1"/>
        <w:keepNext w:val="false"/>
        <w:widowControl w:val="false"/>
        <w:spacing w:lineRule="auto" w:line="276"/>
        <w:jc w:val="both"/>
        <w:rPr/>
      </w:pPr>
      <w:r>
        <w:rPr/>
        <w:t>DA SESSÃO PÚBLICA DO PREGÃO ELETRÔNICO:</w:t>
      </w:r>
    </w:p>
    <w:p>
      <w:pPr>
        <w:pStyle w:val="Normal"/>
        <w:widowControl w:val="false"/>
        <w:spacing w:lineRule="auto" w:line="276"/>
        <w:jc w:val="both"/>
        <w:rPr>
          <w:sz w:val="24"/>
          <w:szCs w:val="24"/>
        </w:rPr>
      </w:pPr>
      <w:r>
        <w:rPr>
          <w:b/>
          <w:bCs/>
          <w:sz w:val="24"/>
          <w:szCs w:val="24"/>
        </w:rPr>
        <w:t>Data e horário de início da sessão</w:t>
      </w:r>
      <w:r>
        <w:rPr>
          <w:sz w:val="24"/>
          <w:szCs w:val="24"/>
        </w:rPr>
        <w:t>: 2</w:t>
      </w:r>
      <w:r>
        <w:rPr>
          <w:color w:val="111111"/>
          <w:sz w:val="24"/>
          <w:szCs w:val="24"/>
        </w:rPr>
        <w:t>2/02/2024 às 10:00 (horário de Brasília)</w:t>
      </w:r>
    </w:p>
    <w:p>
      <w:pPr>
        <w:pStyle w:val="Normal"/>
        <w:widowControl w:val="false"/>
        <w:spacing w:lineRule="auto" w:line="276"/>
        <w:jc w:val="both"/>
        <w:rPr>
          <w:sz w:val="24"/>
          <w:szCs w:val="24"/>
        </w:rPr>
      </w:pPr>
      <w:r>
        <w:rPr>
          <w:b/>
          <w:bCs/>
          <w:color w:val="111111"/>
          <w:sz w:val="24"/>
          <w:szCs w:val="24"/>
        </w:rPr>
        <w:t>Data e horário de início da disputa</w:t>
      </w:r>
      <w:r>
        <w:rPr>
          <w:color w:val="111111"/>
          <w:sz w:val="24"/>
          <w:szCs w:val="24"/>
        </w:rPr>
        <w:t>: 22/02/2024 à</w:t>
      </w:r>
      <w:r>
        <w:rPr>
          <w:sz w:val="24"/>
          <w:szCs w:val="24"/>
        </w:rPr>
        <w:t>s 10:00 (horário de Brasília)</w:t>
      </w:r>
    </w:p>
    <w:p>
      <w:pPr>
        <w:pStyle w:val="Normal"/>
        <w:widowControl w:val="false"/>
        <w:spacing w:lineRule="auto" w:line="276"/>
        <w:jc w:val="both"/>
        <w:rPr>
          <w:sz w:val="24"/>
          <w:szCs w:val="24"/>
        </w:rPr>
      </w:pPr>
      <w:r>
        <w:rPr>
          <w:b/>
          <w:bCs/>
          <w:sz w:val="24"/>
          <w:szCs w:val="24"/>
        </w:rPr>
        <w:t>Realização</w:t>
      </w:r>
      <w:r>
        <w:rPr>
          <w:sz w:val="24"/>
          <w:szCs w:val="24"/>
        </w:rPr>
        <w:t xml:space="preserve">: Por meio do site </w:t>
      </w:r>
      <w:r>
        <w:rPr>
          <w:rStyle w:val="Hyperlink"/>
          <w:sz w:val="24"/>
          <w:szCs w:val="24"/>
        </w:rPr>
        <w:t>http://www.comprasnet.gov.br/.</w:t>
      </w:r>
    </w:p>
    <w:p>
      <w:pPr>
        <w:pStyle w:val="Heading1"/>
        <w:keepNext w:val="false"/>
        <w:widowControl w:val="false"/>
        <w:spacing w:lineRule="auto" w:line="276"/>
        <w:jc w:val="both"/>
        <w:rPr/>
      </w:pPr>
      <w:r>
        <w:rPr/>
      </w:r>
    </w:p>
    <w:p>
      <w:pPr>
        <w:pStyle w:val="Heading1"/>
        <w:keepNext w:val="false"/>
        <w:widowControl w:val="false"/>
        <w:shd w:val="clear" w:color="auto" w:fill="FF0000"/>
        <w:spacing w:lineRule="auto" w:line="276"/>
        <w:jc w:val="both"/>
        <w:rPr/>
      </w:pPr>
      <w:r>
        <w:rPr/>
        <w:t>SEÇÃO I – DO OBJETO</w:t>
      </w:r>
    </w:p>
    <w:p>
      <w:pPr>
        <w:pStyle w:val="Normal"/>
        <w:widowControl w:val="false"/>
        <w:spacing w:lineRule="auto" w:line="276"/>
        <w:jc w:val="both"/>
        <w:rPr/>
      </w:pPr>
      <w:r>
        <w:rPr>
          <w:sz w:val="24"/>
          <w:szCs w:val="24"/>
        </w:rPr>
        <w:t>1.1 Constitui objeto deste edital a “CONTRATAÇÃO DE EMPRESA PARA A PRESTAÇÃO DE SERVIÇO DE EMISSÃO DE PASSAGENS AÉREA E RODOVIÁRIAS CONFORME AS ESPECIFICAÇÕES E CONDIÇÕES ESTABELECIDAS NESTE EDITAL E SEUS ANEXOS.”</w:t>
      </w:r>
    </w:p>
    <w:p>
      <w:pPr>
        <w:pStyle w:val="Normal"/>
        <w:widowControl w:val="false"/>
        <w:spacing w:lineRule="auto" w:line="276"/>
        <w:jc w:val="both"/>
        <w:rPr/>
      </w:pPr>
      <w:r>
        <w:rPr>
          <w:sz w:val="24"/>
          <w:szCs w:val="24"/>
        </w:rPr>
        <w:t>1.2</w:t>
      </w:r>
      <w:r>
        <w:rPr>
          <w:sz w:val="24"/>
          <w:szCs w:val="24"/>
          <w:lang w:val="pt-PT"/>
        </w:rPr>
        <w:t xml:space="preserve"> Critério de julgamento será o de o de </w:t>
      </w:r>
      <w:r>
        <w:rPr>
          <w:b/>
          <w:bCs/>
          <w:sz w:val="24"/>
          <w:szCs w:val="24"/>
          <w:lang w:val="pt-PT"/>
        </w:rPr>
        <w:t>MENOR PREÇO</w:t>
      </w:r>
      <w:r>
        <w:rPr>
          <w:sz w:val="24"/>
          <w:szCs w:val="24"/>
          <w:lang w:val="pt-PT"/>
        </w:rPr>
        <w:t>, observadas as exigências contidas neste aviso de Contratação Direta e seus Anexos quanto a especificações do objeto.</w:t>
      </w:r>
    </w:p>
    <w:p>
      <w:pPr>
        <w:pStyle w:val="Normal"/>
        <w:widowControl w:val="false"/>
        <w:spacing w:lineRule="auto" w:line="276"/>
        <w:jc w:val="both"/>
        <w:rPr/>
      </w:pPr>
      <w:r>
        <w:rPr>
          <w:sz w:val="24"/>
          <w:szCs w:val="24"/>
          <w:lang w:val="pt-PT"/>
        </w:rPr>
        <w:t>1.3  Em caso de eventual discordância existente entre as especificações descritas no sistema CATMAT/CATSER (3719) do Portal de Compras do Governo Federal (Comprasnet) e as especificações constantes dos Anexos deste Edital prevalecerão à descrição deste Edital.</w:t>
      </w:r>
    </w:p>
    <w:p>
      <w:pPr>
        <w:pStyle w:val="Heading1"/>
        <w:keepNext w:val="false"/>
        <w:widowControl w:val="false"/>
        <w:tabs>
          <w:tab w:val="clear" w:pos="708"/>
          <w:tab w:val="left" w:pos="1134" w:leader="none"/>
        </w:tabs>
        <w:spacing w:lineRule="auto" w:line="276"/>
        <w:jc w:val="both"/>
        <w:rPr/>
      </w:pPr>
      <w:r>
        <w:rPr/>
      </w:r>
    </w:p>
    <w:p>
      <w:pPr>
        <w:pStyle w:val="Heading1"/>
        <w:keepNext w:val="false"/>
        <w:widowControl w:val="false"/>
        <w:shd w:val="clear" w:color="auto" w:fill="FF0000"/>
        <w:tabs>
          <w:tab w:val="clear" w:pos="708"/>
          <w:tab w:val="left" w:pos="1134" w:leader="none"/>
        </w:tabs>
        <w:spacing w:lineRule="auto" w:line="276"/>
        <w:jc w:val="both"/>
        <w:rPr/>
      </w:pPr>
      <w:r>
        <w:rPr/>
        <w:t>SEÇÃO II – DA DESPESA E DOS RECURSOS ORÇAMENTÁRIOS</w:t>
      </w:r>
    </w:p>
    <w:p>
      <w:pPr>
        <w:pStyle w:val="Normal"/>
        <w:widowControl w:val="false"/>
        <w:numPr>
          <w:ilvl w:val="0"/>
          <w:numId w:val="4"/>
        </w:numPr>
        <w:tabs>
          <w:tab w:val="clear" w:pos="708"/>
          <w:tab w:val="left" w:pos="0" w:leader="none"/>
        </w:tabs>
        <w:spacing w:lineRule="auto" w:line="276"/>
        <w:ind w:hanging="0" w:left="0"/>
        <w:jc w:val="both"/>
        <w:rPr>
          <w:b/>
          <w:sz w:val="24"/>
          <w:szCs w:val="24"/>
        </w:rPr>
      </w:pPr>
      <w:r>
        <w:rPr>
          <w:sz w:val="24"/>
          <w:szCs w:val="24"/>
        </w:rPr>
        <w:t>A despesa com a execução do objeto desta licitação ocorrerá com as seguintes dotações orçamentarias:</w:t>
      </w:r>
    </w:p>
    <w:p>
      <w:pPr>
        <w:pStyle w:val="Normal"/>
        <w:spacing w:lineRule="auto" w:line="276"/>
        <w:jc w:val="both"/>
        <w:rPr>
          <w:b/>
          <w:bCs/>
          <w:sz w:val="24"/>
          <w:szCs w:val="24"/>
        </w:rPr>
      </w:pPr>
      <w:r>
        <w:rPr>
          <w:b/>
          <w:bCs/>
          <w:sz w:val="24"/>
          <w:szCs w:val="24"/>
        </w:rPr>
        <w:t xml:space="preserve">Dotação Orçamentária: 6.2.2.1.1.01.04.05.001 – Passagens Aérea e rodoviárias, Terrestres </w:t>
      </w:r>
    </w:p>
    <w:p>
      <w:pPr>
        <w:pStyle w:val="Normal"/>
        <w:spacing w:lineRule="auto" w:line="276"/>
        <w:jc w:val="both"/>
        <w:rPr>
          <w:b/>
          <w:bCs/>
          <w:sz w:val="24"/>
          <w:szCs w:val="24"/>
        </w:rPr>
      </w:pPr>
      <w:r>
        <w:rPr>
          <w:b/>
          <w:bCs/>
          <w:sz w:val="24"/>
          <w:szCs w:val="24"/>
        </w:rPr>
        <w:t>Centro de Custo: 01.03.003</w:t>
      </w:r>
    </w:p>
    <w:p>
      <w:pPr>
        <w:pStyle w:val="Normal"/>
        <w:spacing w:lineRule="auto" w:line="276"/>
        <w:jc w:val="both"/>
        <w:rPr>
          <w:b/>
          <w:bCs/>
          <w:sz w:val="24"/>
          <w:szCs w:val="24"/>
        </w:rPr>
      </w:pPr>
      <w:r>
        <w:rPr>
          <w:b/>
          <w:bCs/>
          <w:sz w:val="24"/>
          <w:szCs w:val="24"/>
        </w:rPr>
        <w:t xml:space="preserve">                              </w:t>
      </w:r>
      <w:r>
        <w:rPr>
          <w:b/>
          <w:bCs/>
          <w:sz w:val="24"/>
          <w:szCs w:val="24"/>
        </w:rPr>
        <w:t>01.01.001</w:t>
      </w:r>
    </w:p>
    <w:p>
      <w:pPr>
        <w:pStyle w:val="Normal"/>
        <w:spacing w:lineRule="auto" w:line="276"/>
        <w:jc w:val="both"/>
        <w:rPr>
          <w:b/>
          <w:bCs/>
          <w:sz w:val="24"/>
          <w:szCs w:val="24"/>
        </w:rPr>
      </w:pPr>
      <w:r>
        <w:rPr>
          <w:b/>
          <w:bCs/>
          <w:sz w:val="24"/>
          <w:szCs w:val="24"/>
        </w:rPr>
        <w:t xml:space="preserve">                              </w:t>
      </w:r>
      <w:r>
        <w:rPr>
          <w:b/>
          <w:bCs/>
          <w:sz w:val="24"/>
          <w:szCs w:val="24"/>
        </w:rPr>
        <w:t>01.01.005</w:t>
      </w:r>
    </w:p>
    <w:p>
      <w:pPr>
        <w:pStyle w:val="Normal"/>
        <w:spacing w:lineRule="auto" w:line="276"/>
        <w:jc w:val="both"/>
        <w:rPr>
          <w:b/>
          <w:bCs/>
          <w:sz w:val="24"/>
          <w:szCs w:val="24"/>
        </w:rPr>
      </w:pPr>
      <w:r>
        <w:rPr>
          <w:b/>
          <w:bCs/>
          <w:sz w:val="24"/>
          <w:szCs w:val="24"/>
        </w:rPr>
        <w:t xml:space="preserve">                              </w:t>
      </w:r>
      <w:r>
        <w:rPr>
          <w:b/>
          <w:bCs/>
          <w:sz w:val="24"/>
          <w:szCs w:val="24"/>
        </w:rPr>
        <w:t>02.04.002</w:t>
      </w:r>
    </w:p>
    <w:p>
      <w:pPr>
        <w:pStyle w:val="Normal"/>
        <w:spacing w:lineRule="auto" w:line="276"/>
        <w:jc w:val="both"/>
        <w:rPr>
          <w:b/>
          <w:bCs/>
          <w:sz w:val="24"/>
          <w:szCs w:val="24"/>
        </w:rPr>
      </w:pPr>
      <w:r>
        <w:rPr>
          <w:b/>
          <w:bCs/>
          <w:sz w:val="24"/>
          <w:szCs w:val="24"/>
        </w:rPr>
        <w:t xml:space="preserve">                              </w:t>
      </w:r>
      <w:r>
        <w:rPr>
          <w:b/>
          <w:bCs/>
          <w:sz w:val="24"/>
          <w:szCs w:val="24"/>
        </w:rPr>
        <w:t>01.03.006</w:t>
      </w:r>
    </w:p>
    <w:p>
      <w:pPr>
        <w:pStyle w:val="Normal"/>
        <w:spacing w:lineRule="auto" w:line="276"/>
        <w:jc w:val="both"/>
        <w:rPr>
          <w:b/>
          <w:bCs/>
          <w:sz w:val="24"/>
          <w:szCs w:val="24"/>
        </w:rPr>
      </w:pPr>
      <w:r>
        <w:rPr>
          <w:b/>
          <w:bCs/>
          <w:sz w:val="24"/>
          <w:szCs w:val="24"/>
        </w:rPr>
        <w:t xml:space="preserve">                              </w:t>
      </w:r>
      <w:r>
        <w:rPr>
          <w:b/>
          <w:bCs/>
          <w:sz w:val="24"/>
          <w:szCs w:val="24"/>
        </w:rPr>
        <w:t>01.03.005</w:t>
      </w:r>
    </w:p>
    <w:p>
      <w:pPr>
        <w:pStyle w:val="Normal"/>
        <w:spacing w:lineRule="auto" w:line="276"/>
        <w:jc w:val="both"/>
        <w:rPr>
          <w:b/>
          <w:bCs/>
          <w:sz w:val="24"/>
          <w:szCs w:val="24"/>
        </w:rPr>
      </w:pPr>
      <w:r>
        <w:rPr>
          <w:b/>
          <w:bCs/>
          <w:sz w:val="24"/>
          <w:szCs w:val="24"/>
        </w:rPr>
        <w:t xml:space="preserve">                             </w:t>
      </w:r>
      <w:r>
        <w:rPr>
          <w:b/>
          <w:bCs/>
          <w:sz w:val="24"/>
          <w:szCs w:val="24"/>
        </w:rPr>
        <w:t>01.03.004</w:t>
      </w:r>
    </w:p>
    <w:p>
      <w:pPr>
        <w:pStyle w:val="Normal"/>
        <w:spacing w:lineRule="auto" w:line="276"/>
        <w:jc w:val="both"/>
        <w:rPr>
          <w:b/>
          <w:bCs/>
          <w:sz w:val="24"/>
          <w:szCs w:val="24"/>
        </w:rPr>
      </w:pPr>
      <w:r>
        <w:rPr>
          <w:b/>
          <w:bCs/>
          <w:sz w:val="24"/>
          <w:szCs w:val="24"/>
        </w:rPr>
        <w:t xml:space="preserve">                             </w:t>
      </w:r>
      <w:r>
        <w:rPr>
          <w:b/>
          <w:bCs/>
          <w:sz w:val="24"/>
          <w:szCs w:val="24"/>
        </w:rPr>
        <w:t>02.01.001</w:t>
      </w:r>
    </w:p>
    <w:p>
      <w:pPr>
        <w:pStyle w:val="Normal"/>
        <w:spacing w:lineRule="auto" w:line="276"/>
        <w:jc w:val="both"/>
        <w:rPr>
          <w:b/>
          <w:bCs/>
          <w:sz w:val="24"/>
          <w:szCs w:val="24"/>
        </w:rPr>
      </w:pPr>
      <w:r>
        <w:rPr>
          <w:b/>
          <w:bCs/>
          <w:sz w:val="24"/>
          <w:szCs w:val="24"/>
        </w:rPr>
        <w:t xml:space="preserve">                            </w:t>
      </w:r>
      <w:r>
        <w:rPr>
          <w:b/>
          <w:bCs/>
          <w:sz w:val="24"/>
          <w:szCs w:val="24"/>
        </w:rPr>
        <w:t>01.01.002</w:t>
      </w:r>
    </w:p>
    <w:p>
      <w:pPr>
        <w:pStyle w:val="Normal"/>
        <w:spacing w:lineRule="auto" w:line="276"/>
        <w:jc w:val="both"/>
        <w:rPr>
          <w:b/>
          <w:bCs/>
          <w:sz w:val="24"/>
          <w:szCs w:val="24"/>
        </w:rPr>
      </w:pPr>
      <w:r>
        <w:rPr>
          <w:b/>
          <w:bCs/>
          <w:sz w:val="24"/>
          <w:szCs w:val="24"/>
        </w:rPr>
        <w:t xml:space="preserve">                             </w:t>
      </w:r>
      <w:r>
        <w:rPr>
          <w:b/>
          <w:bCs/>
          <w:sz w:val="24"/>
          <w:szCs w:val="24"/>
        </w:rPr>
        <w:t>01.01.003</w:t>
      </w:r>
    </w:p>
    <w:p>
      <w:pPr>
        <w:pStyle w:val="Normal"/>
        <w:spacing w:lineRule="auto" w:line="276"/>
        <w:jc w:val="both"/>
        <w:rPr>
          <w:b/>
          <w:bCs/>
          <w:sz w:val="24"/>
          <w:szCs w:val="24"/>
        </w:rPr>
      </w:pPr>
      <w:r>
        <w:rPr>
          <w:b/>
          <w:bCs/>
          <w:sz w:val="24"/>
          <w:szCs w:val="24"/>
        </w:rPr>
        <w:t xml:space="preserve">                             </w:t>
      </w:r>
      <w:r>
        <w:rPr>
          <w:b/>
          <w:bCs/>
          <w:sz w:val="24"/>
          <w:szCs w:val="24"/>
        </w:rPr>
        <w:t>01.01.004</w:t>
      </w:r>
    </w:p>
    <w:p>
      <w:pPr>
        <w:pStyle w:val="Normal"/>
        <w:spacing w:lineRule="auto" w:line="276"/>
        <w:jc w:val="both"/>
        <w:rPr>
          <w:b/>
          <w:bCs/>
          <w:sz w:val="24"/>
          <w:szCs w:val="24"/>
        </w:rPr>
      </w:pPr>
      <w:r>
        <w:rPr>
          <w:b/>
          <w:bCs/>
          <w:sz w:val="24"/>
          <w:szCs w:val="24"/>
        </w:rPr>
        <w:t xml:space="preserve">                             </w:t>
      </w:r>
      <w:r>
        <w:rPr>
          <w:b/>
          <w:bCs/>
          <w:sz w:val="24"/>
          <w:szCs w:val="24"/>
        </w:rPr>
        <w:t>01.01.006</w:t>
      </w:r>
    </w:p>
    <w:p>
      <w:pPr>
        <w:pStyle w:val="Normal"/>
        <w:spacing w:lineRule="auto" w:line="276"/>
        <w:jc w:val="both"/>
        <w:rPr>
          <w:b/>
          <w:bCs/>
          <w:sz w:val="24"/>
          <w:szCs w:val="24"/>
        </w:rPr>
      </w:pPr>
      <w:r>
        <w:rPr>
          <w:b/>
          <w:bCs/>
          <w:sz w:val="24"/>
          <w:szCs w:val="24"/>
        </w:rPr>
        <w:t xml:space="preserve">                             </w:t>
      </w:r>
      <w:r>
        <w:rPr>
          <w:b/>
          <w:bCs/>
          <w:sz w:val="24"/>
          <w:szCs w:val="24"/>
        </w:rPr>
        <w:t>01.03.002</w:t>
      </w:r>
    </w:p>
    <w:p>
      <w:pPr>
        <w:pStyle w:val="Normal"/>
        <w:spacing w:lineRule="auto" w:line="276"/>
        <w:jc w:val="both"/>
        <w:rPr>
          <w:b/>
          <w:bCs/>
          <w:sz w:val="24"/>
          <w:szCs w:val="24"/>
        </w:rPr>
      </w:pPr>
      <w:r>
        <w:rPr>
          <w:b/>
          <w:bCs/>
          <w:sz w:val="24"/>
          <w:szCs w:val="24"/>
        </w:rPr>
        <w:t xml:space="preserve">                             </w:t>
      </w:r>
      <w:r>
        <w:rPr>
          <w:b/>
          <w:bCs/>
          <w:sz w:val="24"/>
          <w:szCs w:val="24"/>
        </w:rPr>
        <w:t>02.02.001</w:t>
      </w:r>
    </w:p>
    <w:p>
      <w:pPr>
        <w:pStyle w:val="Normal"/>
        <w:spacing w:lineRule="auto" w:line="276"/>
        <w:jc w:val="both"/>
        <w:rPr>
          <w:b/>
          <w:bCs/>
          <w:sz w:val="24"/>
          <w:szCs w:val="24"/>
        </w:rPr>
      </w:pPr>
      <w:r>
        <w:rPr>
          <w:b/>
          <w:bCs/>
          <w:sz w:val="24"/>
          <w:szCs w:val="24"/>
        </w:rPr>
        <w:t xml:space="preserve">                             </w:t>
      </w:r>
      <w:r>
        <w:rPr>
          <w:b/>
          <w:bCs/>
          <w:sz w:val="24"/>
          <w:szCs w:val="24"/>
        </w:rPr>
        <w:t>01.02.001</w:t>
      </w:r>
    </w:p>
    <w:p>
      <w:pPr>
        <w:pStyle w:val="Normal"/>
        <w:spacing w:lineRule="auto" w:line="276"/>
        <w:jc w:val="both"/>
        <w:rPr>
          <w:b/>
          <w:bCs/>
          <w:sz w:val="24"/>
          <w:szCs w:val="24"/>
        </w:rPr>
      </w:pPr>
      <w:r>
        <w:rPr>
          <w:b/>
          <w:bCs/>
          <w:sz w:val="24"/>
          <w:szCs w:val="24"/>
        </w:rPr>
        <w:t>Projeto – Participação em Eventos ligados à Odontologia</w:t>
      </w:r>
    </w:p>
    <w:p>
      <w:pPr>
        <w:pStyle w:val="Normal"/>
        <w:spacing w:lineRule="auto" w:line="276"/>
        <w:jc w:val="both"/>
        <w:rPr>
          <w:b/>
          <w:bCs/>
          <w:sz w:val="24"/>
          <w:szCs w:val="24"/>
        </w:rPr>
      </w:pPr>
      <w:r>
        <w:rPr>
          <w:b/>
          <w:bCs/>
          <w:sz w:val="24"/>
          <w:szCs w:val="24"/>
        </w:rPr>
        <w:t>Atividade – Manter e Desenvolver as Atividades de Fiscalização – Sede</w:t>
      </w:r>
    </w:p>
    <w:p>
      <w:pPr>
        <w:pStyle w:val="Normal"/>
        <w:spacing w:lineRule="auto" w:line="276"/>
        <w:jc w:val="both"/>
        <w:rPr>
          <w:b/>
          <w:bCs/>
          <w:sz w:val="24"/>
          <w:szCs w:val="24"/>
        </w:rPr>
      </w:pPr>
      <w:r>
        <w:rPr>
          <w:b/>
          <w:bCs/>
          <w:sz w:val="24"/>
          <w:szCs w:val="24"/>
        </w:rPr>
        <w:t xml:space="preserve">                     </w:t>
      </w:r>
      <w:r>
        <w:rPr>
          <w:b/>
          <w:bCs/>
          <w:sz w:val="24"/>
          <w:szCs w:val="24"/>
        </w:rPr>
        <w:t>Manter e Desenvolver as Atividades de Fiscalização – Rondonópolis</w:t>
      </w:r>
    </w:p>
    <w:p>
      <w:pPr>
        <w:pStyle w:val="Normal"/>
        <w:spacing w:lineRule="auto" w:line="276"/>
        <w:jc w:val="both"/>
        <w:rPr>
          <w:b/>
          <w:bCs/>
          <w:sz w:val="24"/>
          <w:szCs w:val="24"/>
        </w:rPr>
      </w:pPr>
      <w:r>
        <w:rPr>
          <w:b/>
          <w:bCs/>
          <w:sz w:val="24"/>
          <w:szCs w:val="24"/>
        </w:rPr>
        <w:t>Projeto – CRO Meeting</w:t>
      </w:r>
    </w:p>
    <w:p>
      <w:pPr>
        <w:pStyle w:val="Normal"/>
        <w:spacing w:lineRule="auto" w:line="276"/>
        <w:jc w:val="both"/>
        <w:rPr>
          <w:b/>
          <w:bCs/>
          <w:sz w:val="24"/>
          <w:szCs w:val="24"/>
        </w:rPr>
      </w:pPr>
      <w:r>
        <w:rPr>
          <w:b/>
          <w:bCs/>
          <w:sz w:val="24"/>
          <w:szCs w:val="24"/>
        </w:rPr>
        <w:t>Atividade – CRO na Estrada</w:t>
      </w:r>
    </w:p>
    <w:p>
      <w:pPr>
        <w:pStyle w:val="Normal"/>
        <w:spacing w:lineRule="auto" w:line="276"/>
        <w:jc w:val="both"/>
        <w:rPr>
          <w:b/>
          <w:bCs/>
          <w:sz w:val="24"/>
          <w:szCs w:val="24"/>
        </w:rPr>
      </w:pPr>
      <w:r>
        <w:rPr>
          <w:b/>
          <w:bCs/>
          <w:sz w:val="24"/>
          <w:szCs w:val="24"/>
        </w:rPr>
        <w:t>Projeto – Congresso Odontologia</w:t>
      </w:r>
    </w:p>
    <w:p>
      <w:pPr>
        <w:pStyle w:val="Normal"/>
        <w:spacing w:lineRule="auto" w:line="276"/>
        <w:jc w:val="both"/>
        <w:rPr>
          <w:b/>
          <w:bCs/>
          <w:sz w:val="24"/>
          <w:szCs w:val="24"/>
        </w:rPr>
      </w:pPr>
      <w:r>
        <w:rPr>
          <w:b/>
          <w:bCs/>
          <w:sz w:val="24"/>
          <w:szCs w:val="24"/>
        </w:rPr>
        <w:t xml:space="preserve">Atividade – Manter e Desenvolver as Atividades da Gestão Administrativa </w:t>
      </w:r>
    </w:p>
    <w:p>
      <w:pPr>
        <w:pStyle w:val="Normal"/>
        <w:spacing w:lineRule="auto" w:line="276"/>
        <w:jc w:val="both"/>
        <w:rPr>
          <w:b/>
          <w:bCs/>
          <w:sz w:val="24"/>
          <w:szCs w:val="24"/>
        </w:rPr>
      </w:pPr>
      <w:r>
        <w:rPr>
          <w:b/>
          <w:bCs/>
          <w:sz w:val="24"/>
          <w:szCs w:val="24"/>
        </w:rPr>
        <w:t xml:space="preserve">                     </w:t>
      </w:r>
      <w:r>
        <w:rPr>
          <w:b/>
          <w:bCs/>
          <w:sz w:val="24"/>
          <w:szCs w:val="24"/>
        </w:rPr>
        <w:t>Manter e Desenvolver as Atividades de Fiscalização - Sede</w:t>
      </w:r>
    </w:p>
    <w:p>
      <w:pPr>
        <w:pStyle w:val="Normal"/>
        <w:spacing w:lineRule="auto" w:line="276"/>
        <w:jc w:val="both"/>
        <w:rPr>
          <w:b/>
          <w:bCs/>
          <w:sz w:val="24"/>
          <w:szCs w:val="24"/>
        </w:rPr>
      </w:pPr>
      <w:r>
        <w:rPr>
          <w:b/>
          <w:bCs/>
          <w:sz w:val="24"/>
          <w:szCs w:val="24"/>
        </w:rPr>
        <w:t xml:space="preserve">                     </w:t>
      </w:r>
      <w:r>
        <w:rPr>
          <w:b/>
          <w:bCs/>
          <w:sz w:val="24"/>
          <w:szCs w:val="24"/>
        </w:rPr>
        <w:t>Manter e Desenvolver as Atividades de Fiscalização – Tangará</w:t>
      </w:r>
    </w:p>
    <w:p>
      <w:pPr>
        <w:pStyle w:val="Normal"/>
        <w:spacing w:lineRule="auto" w:line="276"/>
        <w:jc w:val="both"/>
        <w:rPr>
          <w:b/>
          <w:bCs/>
          <w:sz w:val="24"/>
          <w:szCs w:val="24"/>
        </w:rPr>
      </w:pPr>
      <w:r>
        <w:rPr>
          <w:b/>
          <w:bCs/>
          <w:sz w:val="24"/>
          <w:szCs w:val="24"/>
        </w:rPr>
        <w:t xml:space="preserve">                     </w:t>
      </w:r>
      <w:r>
        <w:rPr>
          <w:b/>
          <w:bCs/>
          <w:sz w:val="24"/>
          <w:szCs w:val="24"/>
        </w:rPr>
        <w:t>Manter e Desenvolver as Atividades de Fiscalização – Barra do Garças</w:t>
      </w:r>
    </w:p>
    <w:p>
      <w:pPr>
        <w:pStyle w:val="Normal"/>
        <w:spacing w:lineRule="auto" w:line="276"/>
        <w:jc w:val="both"/>
        <w:rPr>
          <w:b/>
          <w:bCs/>
          <w:sz w:val="24"/>
          <w:szCs w:val="24"/>
        </w:rPr>
      </w:pPr>
      <w:r>
        <w:rPr>
          <w:b/>
          <w:bCs/>
          <w:sz w:val="24"/>
          <w:szCs w:val="24"/>
        </w:rPr>
        <w:t xml:space="preserve">                     </w:t>
      </w:r>
      <w:r>
        <w:rPr>
          <w:b/>
          <w:bCs/>
          <w:sz w:val="24"/>
          <w:szCs w:val="24"/>
        </w:rPr>
        <w:t>Manter e Desenvolver as Atividades de Fiscalização -  SINOP</w:t>
      </w:r>
    </w:p>
    <w:p>
      <w:pPr>
        <w:pStyle w:val="Normal"/>
        <w:spacing w:lineRule="auto" w:line="276"/>
        <w:jc w:val="both"/>
        <w:rPr>
          <w:b/>
          <w:bCs/>
          <w:sz w:val="24"/>
          <w:szCs w:val="24"/>
        </w:rPr>
      </w:pPr>
      <w:r>
        <w:rPr>
          <w:b/>
          <w:bCs/>
          <w:sz w:val="24"/>
          <w:szCs w:val="24"/>
        </w:rPr>
        <w:t xml:space="preserve">                     </w:t>
      </w:r>
      <w:r>
        <w:rPr>
          <w:b/>
          <w:bCs/>
          <w:sz w:val="24"/>
          <w:szCs w:val="24"/>
        </w:rPr>
        <w:t>Manter e Desenvolver as Atividades de Fiscalização -  Juína</w:t>
      </w:r>
    </w:p>
    <w:p>
      <w:pPr>
        <w:pStyle w:val="Normal"/>
        <w:spacing w:lineRule="auto" w:line="276"/>
        <w:jc w:val="both"/>
        <w:rPr>
          <w:b/>
          <w:bCs/>
          <w:sz w:val="24"/>
          <w:szCs w:val="24"/>
        </w:rPr>
      </w:pPr>
      <w:r>
        <w:rPr>
          <w:b/>
          <w:bCs/>
          <w:sz w:val="24"/>
          <w:szCs w:val="24"/>
        </w:rPr>
        <w:t xml:space="preserve">                     </w:t>
      </w:r>
      <w:r>
        <w:rPr>
          <w:b/>
          <w:bCs/>
          <w:sz w:val="24"/>
          <w:szCs w:val="24"/>
        </w:rPr>
        <w:t xml:space="preserve">Manter e Desenvolver as Atividades de Gestão de Pessoas </w:t>
      </w:r>
    </w:p>
    <w:p>
      <w:pPr>
        <w:pStyle w:val="Normal"/>
        <w:spacing w:lineRule="auto" w:line="276"/>
        <w:jc w:val="both"/>
        <w:rPr>
          <w:b/>
          <w:bCs/>
          <w:sz w:val="24"/>
          <w:szCs w:val="24"/>
        </w:rPr>
      </w:pPr>
      <w:r>
        <w:rPr>
          <w:b/>
          <w:bCs/>
          <w:sz w:val="24"/>
          <w:szCs w:val="24"/>
        </w:rPr>
        <w:t xml:space="preserve">                    </w:t>
      </w:r>
      <w:r>
        <w:rPr>
          <w:b/>
          <w:bCs/>
          <w:sz w:val="24"/>
          <w:szCs w:val="24"/>
        </w:rPr>
        <w:t>Manter e Desenvolver as Atividades de Cadastro e Registro</w:t>
      </w:r>
    </w:p>
    <w:p>
      <w:pPr>
        <w:pStyle w:val="Normal"/>
        <w:spacing w:lineRule="auto" w:line="276"/>
        <w:jc w:val="both"/>
        <w:rPr>
          <w:b/>
          <w:bCs/>
          <w:sz w:val="24"/>
          <w:szCs w:val="24"/>
        </w:rPr>
      </w:pPr>
      <w:r>
        <w:rPr>
          <w:b/>
          <w:bCs/>
          <w:sz w:val="24"/>
          <w:szCs w:val="24"/>
        </w:rPr>
        <w:t xml:space="preserve">                    </w:t>
      </w:r>
      <w:r>
        <w:rPr>
          <w:b/>
          <w:bCs/>
          <w:sz w:val="24"/>
          <w:szCs w:val="24"/>
        </w:rPr>
        <w:t>Manter e Desenvolver as Atividades de Educação Continuada</w:t>
      </w:r>
    </w:p>
    <w:p>
      <w:pPr>
        <w:pStyle w:val="Normal"/>
        <w:spacing w:lineRule="auto" w:line="276"/>
        <w:jc w:val="both"/>
        <w:rPr>
          <w:b/>
          <w:bCs/>
          <w:sz w:val="24"/>
          <w:szCs w:val="24"/>
        </w:rPr>
      </w:pPr>
      <w:r>
        <w:rPr>
          <w:b/>
          <w:bCs/>
          <w:sz w:val="24"/>
          <w:szCs w:val="24"/>
        </w:rPr>
        <w:t xml:space="preserve">                    </w:t>
      </w:r>
      <w:r>
        <w:rPr>
          <w:b/>
          <w:bCs/>
          <w:sz w:val="24"/>
          <w:szCs w:val="24"/>
        </w:rPr>
        <w:t xml:space="preserve">Participação em eventos. </w:t>
      </w:r>
    </w:p>
    <w:p>
      <w:pPr>
        <w:pStyle w:val="Normal"/>
        <w:spacing w:lineRule="auto" w:line="276"/>
        <w:jc w:val="both"/>
        <w:rPr>
          <w:b/>
          <w:bCs/>
          <w:sz w:val="24"/>
          <w:szCs w:val="24"/>
        </w:rPr>
      </w:pPr>
      <w:r>
        <w:rPr>
          <w:b/>
          <w:bCs/>
          <w:sz w:val="24"/>
          <w:szCs w:val="24"/>
        </w:rPr>
      </w:r>
    </w:p>
    <w:p>
      <w:pPr>
        <w:pStyle w:val="Heading1"/>
        <w:keepNext w:val="false"/>
        <w:widowControl w:val="false"/>
        <w:shd w:val="clear" w:color="auto" w:fill="FF0000"/>
        <w:tabs>
          <w:tab w:val="clear" w:pos="708"/>
          <w:tab w:val="left" w:pos="1134" w:leader="none"/>
        </w:tabs>
        <w:spacing w:lineRule="auto" w:line="276"/>
        <w:jc w:val="both"/>
        <w:rPr/>
      </w:pPr>
      <w:r>
        <w:rPr/>
        <w:t>SEÇÃO III – DA PARTICIPAÇÃO NA LICITAÇÃO</w:t>
      </w:r>
    </w:p>
    <w:p>
      <w:pPr>
        <w:pStyle w:val="Default"/>
        <w:widowControl w:val="false"/>
        <w:numPr>
          <w:ilvl w:val="0"/>
          <w:numId w:val="4"/>
        </w:numPr>
        <w:tabs>
          <w:tab w:val="clear" w:pos="708"/>
          <w:tab w:val="left" w:pos="567" w:leader="none"/>
        </w:tabs>
        <w:spacing w:lineRule="auto" w:line="276"/>
        <w:ind w:hanging="0" w:left="0"/>
        <w:jc w:val="both"/>
        <w:rPr>
          <w:color w:val="auto"/>
        </w:rPr>
      </w:pPr>
      <w:r>
        <w:rPr>
          <w:bCs/>
          <w:color w:val="auto"/>
        </w:rPr>
        <w:t>Poderão participar deste Pregão interessados cujo ramo de atividade seja compatível com o objeto desta licitação. C</w:t>
      </w:r>
      <w:r>
        <w:rPr>
          <w:color w:val="auto"/>
        </w:rPr>
        <w:t xml:space="preserve">omo requisito para participação no PREGÃO ELETRÔNICO, o licitante deverá manifestar em campo próprio do </w:t>
      </w:r>
      <w:r>
        <w:rPr>
          <w:i/>
          <w:color w:val="auto"/>
        </w:rPr>
        <w:t>Sistema Eletrônico</w:t>
      </w:r>
      <w:r>
        <w:rPr>
          <w:color w:val="auto"/>
        </w:rPr>
        <w:t xml:space="preserve">, que cumpre plenamente os requisitos de habilitação e que sua proposta de preços está em conformidade com as exigências do instrumento convocatório, bem como a descritiva técnica, constante do </w:t>
      </w:r>
      <w:r>
        <w:rPr>
          <w:b/>
          <w:i/>
          <w:color w:val="auto"/>
        </w:rPr>
        <w:t>Termo de Referência</w:t>
      </w:r>
      <w:r>
        <w:rPr>
          <w:i/>
          <w:color w:val="auto"/>
        </w:rPr>
        <w:t xml:space="preserve"> – ANEXO I</w:t>
      </w:r>
      <w:r>
        <w:rPr>
          <w:color w:val="auto"/>
        </w:rPr>
        <w:t xml:space="preserve"> do presente Edital. </w:t>
      </w:r>
    </w:p>
    <w:p>
      <w:pPr>
        <w:pStyle w:val="Default"/>
        <w:widowControl w:val="false"/>
        <w:spacing w:lineRule="auto" w:line="276"/>
        <w:jc w:val="both"/>
        <w:rPr>
          <w:color w:val="auto"/>
        </w:rPr>
      </w:pPr>
      <w:r>
        <w:rPr>
          <w:b/>
          <w:color w:val="auto"/>
        </w:rPr>
        <w:t xml:space="preserve">3.1. </w:t>
      </w:r>
      <w:r>
        <w:rPr>
          <w:color w:val="auto"/>
        </w:rPr>
        <w:t xml:space="preserve">A declaração falsa relativa ao cumprimento dos requisitos de habilitação e proposta sujeitará o licitante às sanções previstas neste Edital e nas demais cominações legais. </w:t>
      </w:r>
    </w:p>
    <w:p>
      <w:pPr>
        <w:pStyle w:val="Default"/>
        <w:widowControl w:val="false"/>
        <w:spacing w:lineRule="auto" w:line="276"/>
        <w:jc w:val="both"/>
        <w:rPr>
          <w:color w:val="auto"/>
        </w:rPr>
      </w:pPr>
      <w:r>
        <w:rPr>
          <w:b/>
          <w:bCs/>
          <w:color w:val="auto"/>
        </w:rPr>
        <w:t xml:space="preserve">3.3. </w:t>
      </w:r>
      <w:r>
        <w:rPr>
          <w:color w:val="auto"/>
        </w:rPr>
        <w:t>Poderão participar da presente licitação toda e qualquer pessoa jurídica enquadrada nos termos do artigo 3º Lei Complementar nº 123/2006, 147/2014 e que atenda todas as exigências do presente Edital e seus anexos, correndo por sua conta todos os custos com a elaboração e apresentação da proposta;</w:t>
      </w:r>
    </w:p>
    <w:p>
      <w:pPr>
        <w:pStyle w:val="Default"/>
        <w:widowControl w:val="false"/>
        <w:spacing w:lineRule="auto" w:line="276"/>
        <w:jc w:val="both"/>
        <w:rPr>
          <w:color w:val="auto"/>
        </w:rPr>
      </w:pPr>
      <w:r>
        <w:rPr>
          <w:b/>
          <w:bCs/>
          <w:color w:val="auto"/>
        </w:rPr>
        <w:t xml:space="preserve">3.4. </w:t>
      </w:r>
      <w:r>
        <w:rPr>
          <w:color w:val="auto"/>
        </w:rPr>
        <w:t xml:space="preserve">A participação na licitação implica, automaticamente, aceitação integral dos termos deste Edital e seus Anexos e Leis aplicáveis. </w:t>
      </w:r>
    </w:p>
    <w:p>
      <w:pPr>
        <w:pStyle w:val="Default"/>
        <w:widowControl w:val="false"/>
        <w:spacing w:lineRule="auto" w:line="276"/>
        <w:jc w:val="both"/>
        <w:rPr>
          <w:color w:val="auto"/>
        </w:rPr>
      </w:pPr>
      <w:r>
        <w:rPr>
          <w:b/>
          <w:bCs/>
          <w:color w:val="auto"/>
        </w:rPr>
        <w:t xml:space="preserve">3.5. </w:t>
      </w:r>
      <w:r>
        <w:rPr>
          <w:color w:val="auto"/>
        </w:rPr>
        <w:t xml:space="preserve">As empresas licitantes arcarão com todos os custos decorrentes da elaboração e apresentação de suas propostas, sendo que o </w:t>
      </w:r>
      <w:r>
        <w:rPr>
          <w:b/>
          <w:color w:val="auto"/>
        </w:rPr>
        <w:t>Conselho Regional de Odontologia do Mato Grosso</w:t>
      </w:r>
      <w:r>
        <w:rPr>
          <w:color w:val="auto"/>
        </w:rPr>
        <w:t xml:space="preserve"> não será, em nenhum caso, responsável por esses custos, independentemente da condução ou do resultado do processo licitatório. </w:t>
      </w:r>
    </w:p>
    <w:p>
      <w:pPr>
        <w:pStyle w:val="Header"/>
        <w:widowControl w:val="false"/>
        <w:spacing w:lineRule="auto" w:line="276"/>
        <w:rPr>
          <w:szCs w:val="24"/>
        </w:rPr>
      </w:pPr>
      <w:r>
        <w:rPr>
          <w:b/>
          <w:sz w:val="24"/>
          <w:szCs w:val="24"/>
        </w:rPr>
        <w:t>3.6</w:t>
      </w:r>
      <w:r>
        <w:rPr>
          <w:b/>
          <w:szCs w:val="24"/>
        </w:rPr>
        <w:t xml:space="preserve"> </w:t>
      </w:r>
      <w:r>
        <w:rPr>
          <w:sz w:val="24"/>
          <w:szCs w:val="32"/>
        </w:rPr>
        <w:t xml:space="preserve">Não poderão participar deste </w:t>
      </w:r>
      <w:r>
        <w:rPr>
          <w:b/>
          <w:sz w:val="24"/>
          <w:szCs w:val="32"/>
        </w:rPr>
        <w:t>Pregão:</w:t>
      </w:r>
    </w:p>
    <w:p>
      <w:pPr>
        <w:pStyle w:val="Header"/>
        <w:widowControl w:val="false"/>
        <w:tabs>
          <w:tab w:val="center" w:pos="4252" w:leader="none"/>
          <w:tab w:val="left" w:pos="4537" w:leader="none"/>
          <w:tab w:val="right" w:pos="8504" w:leader="none"/>
        </w:tabs>
        <w:spacing w:lineRule="auto" w:line="276"/>
        <w:jc w:val="both"/>
        <w:rPr>
          <w:sz w:val="24"/>
          <w:szCs w:val="24"/>
        </w:rPr>
      </w:pPr>
      <w:r>
        <w:rPr>
          <w:b/>
          <w:sz w:val="24"/>
          <w:szCs w:val="24"/>
        </w:rPr>
        <w:t xml:space="preserve">3.7 </w:t>
      </w:r>
      <w:r>
        <w:rPr>
          <w:sz w:val="24"/>
          <w:szCs w:val="24"/>
        </w:rPr>
        <w:t>Empresário suspenso de participar de licitação e impedido de contratar com o Município/Estado, durante o prazo da sanção aplicada;</w:t>
      </w:r>
    </w:p>
    <w:p>
      <w:pPr>
        <w:pStyle w:val="Header"/>
        <w:widowControl w:val="false"/>
        <w:numPr>
          <w:ilvl w:val="1"/>
          <w:numId w:val="5"/>
        </w:numPr>
        <w:tabs>
          <w:tab w:val="clear" w:pos="4252"/>
          <w:tab w:val="clear" w:pos="8504"/>
          <w:tab w:val="left" w:pos="426" w:leader="none"/>
        </w:tabs>
        <w:spacing w:lineRule="auto" w:line="276"/>
        <w:ind w:hanging="0" w:left="0"/>
        <w:jc w:val="both"/>
        <w:rPr>
          <w:sz w:val="24"/>
          <w:szCs w:val="24"/>
        </w:rPr>
      </w:pPr>
      <w:r>
        <w:rPr>
          <w:sz w:val="24"/>
          <w:szCs w:val="24"/>
        </w:rPr>
        <w:t>Empresário declarado inidôneo para licitar ou contratar com a Administração Pública, enquanto perdurarem os motivos determinantes da punição ou até que seja promovida sua reabilitação;</w:t>
      </w:r>
    </w:p>
    <w:p>
      <w:pPr>
        <w:pStyle w:val="Header"/>
        <w:widowControl w:val="false"/>
        <w:numPr>
          <w:ilvl w:val="1"/>
          <w:numId w:val="5"/>
        </w:numPr>
        <w:tabs>
          <w:tab w:val="clear" w:pos="4252"/>
          <w:tab w:val="clear" w:pos="8504"/>
          <w:tab w:val="left" w:pos="426" w:leader="none"/>
        </w:tabs>
        <w:spacing w:lineRule="auto" w:line="276"/>
        <w:ind w:hanging="0" w:left="0"/>
        <w:jc w:val="both"/>
        <w:rPr>
          <w:sz w:val="24"/>
          <w:szCs w:val="24"/>
        </w:rPr>
      </w:pPr>
      <w:r>
        <w:rPr>
          <w:sz w:val="24"/>
          <w:szCs w:val="24"/>
        </w:rPr>
        <w:t>Empresário impedido de licitar e contratar com a União e Estado, durante o prazo da sanção aplicada;</w:t>
      </w:r>
    </w:p>
    <w:p>
      <w:pPr>
        <w:pStyle w:val="Header"/>
        <w:widowControl w:val="false"/>
        <w:numPr>
          <w:ilvl w:val="1"/>
          <w:numId w:val="5"/>
        </w:numPr>
        <w:tabs>
          <w:tab w:val="clear" w:pos="4252"/>
          <w:tab w:val="clear" w:pos="8504"/>
          <w:tab w:val="left" w:pos="426" w:leader="none"/>
          <w:tab w:val="left" w:pos="567" w:leader="none"/>
        </w:tabs>
        <w:spacing w:lineRule="auto" w:line="276"/>
        <w:ind w:hanging="0" w:left="0"/>
        <w:jc w:val="both"/>
        <w:rPr>
          <w:sz w:val="24"/>
          <w:szCs w:val="24"/>
        </w:rPr>
      </w:pPr>
      <w:r>
        <w:rPr>
          <w:sz w:val="24"/>
          <w:szCs w:val="24"/>
        </w:rPr>
        <w:t xml:space="preserve">Empresário proibido de contratar com o Poder Público, em razão do disposto no art.72, § 8º, V, da Lei nº 9.605/98; </w:t>
      </w:r>
    </w:p>
    <w:p>
      <w:pPr>
        <w:pStyle w:val="Header"/>
        <w:widowControl w:val="false"/>
        <w:numPr>
          <w:ilvl w:val="1"/>
          <w:numId w:val="5"/>
        </w:numPr>
        <w:tabs>
          <w:tab w:val="clear" w:pos="4252"/>
          <w:tab w:val="clear" w:pos="8504"/>
          <w:tab w:val="left" w:pos="284" w:leader="none"/>
          <w:tab w:val="left" w:pos="567" w:leader="none"/>
        </w:tabs>
        <w:spacing w:lineRule="auto" w:line="276"/>
        <w:ind w:hanging="0" w:left="0"/>
        <w:jc w:val="both"/>
        <w:rPr>
          <w:sz w:val="24"/>
          <w:szCs w:val="24"/>
        </w:rPr>
      </w:pPr>
      <w:r>
        <w:rPr>
          <w:sz w:val="24"/>
          <w:szCs w:val="24"/>
        </w:rPr>
        <w:t>Empresário proibido de contratar com o Poder Público, nos termos do art. 12 da Lei nº 8.429/92;</w:t>
      </w:r>
    </w:p>
    <w:p>
      <w:pPr>
        <w:pStyle w:val="Header"/>
        <w:widowControl w:val="false"/>
        <w:numPr>
          <w:ilvl w:val="1"/>
          <w:numId w:val="5"/>
        </w:numPr>
        <w:tabs>
          <w:tab w:val="clear" w:pos="4252"/>
          <w:tab w:val="clear" w:pos="8504"/>
          <w:tab w:val="left" w:pos="426" w:leader="none"/>
          <w:tab w:val="left" w:pos="567" w:leader="none"/>
        </w:tabs>
        <w:spacing w:lineRule="auto" w:line="276"/>
        <w:ind w:hanging="0" w:left="0"/>
        <w:jc w:val="both"/>
        <w:rPr>
          <w:sz w:val="24"/>
          <w:szCs w:val="24"/>
        </w:rPr>
      </w:pPr>
      <w:r>
        <w:rPr>
          <w:sz w:val="24"/>
          <w:szCs w:val="24"/>
        </w:rPr>
        <w:t>Quaisquer interessados enquadrados nas vedações previstas no art. 14º da Lei nº 14.133/21;</w:t>
      </w:r>
    </w:p>
    <w:p>
      <w:pPr>
        <w:pStyle w:val="Normal"/>
        <w:widowControl w:val="false"/>
        <w:numPr>
          <w:ilvl w:val="2"/>
          <w:numId w:val="5"/>
        </w:numPr>
        <w:tabs>
          <w:tab w:val="clear" w:pos="708"/>
          <w:tab w:val="left" w:pos="709" w:leader="none"/>
          <w:tab w:val="left" w:pos="851" w:leader="none"/>
        </w:tabs>
        <w:spacing w:lineRule="auto" w:line="276"/>
        <w:ind w:hanging="0" w:left="0"/>
        <w:jc w:val="both"/>
        <w:rPr>
          <w:sz w:val="24"/>
          <w:szCs w:val="24"/>
        </w:rPr>
      </w:pPr>
      <w:r>
        <w:rPr>
          <w:sz w:val="24"/>
          <w:szCs w:val="24"/>
        </w:rPr>
        <w:t xml:space="preserve">Entende-se por “participação indireta” a que alude o art. 14º da Lei nº 14.133/21 a participação no certame de empresa em que uma das pessoas listadas no mencionado dispositivo legal figure como sócia, pouco importando o seu conhecimento técnico acerca do objeto da licitação ou mesmo a atuação no processo licitatório. </w:t>
      </w:r>
    </w:p>
    <w:p>
      <w:pPr>
        <w:pStyle w:val="Header"/>
        <w:widowControl w:val="false"/>
        <w:numPr>
          <w:ilvl w:val="1"/>
          <w:numId w:val="5"/>
        </w:numPr>
        <w:tabs>
          <w:tab w:val="clear" w:pos="4252"/>
          <w:tab w:val="clear" w:pos="8504"/>
          <w:tab w:val="left" w:pos="567" w:leader="none"/>
          <w:tab w:val="left" w:pos="709" w:leader="none"/>
        </w:tabs>
        <w:spacing w:lineRule="auto" w:line="276"/>
        <w:ind w:hanging="0" w:left="0"/>
        <w:jc w:val="both"/>
        <w:rPr>
          <w:sz w:val="24"/>
          <w:szCs w:val="24"/>
        </w:rPr>
      </w:pPr>
      <w:r>
        <w:rPr>
          <w:sz w:val="24"/>
          <w:szCs w:val="24"/>
        </w:rPr>
        <w:t>Sociedade estrangeira não autorizada a funcionar no País;</w:t>
      </w:r>
    </w:p>
    <w:p>
      <w:pPr>
        <w:pStyle w:val="Header"/>
        <w:widowControl w:val="false"/>
        <w:numPr>
          <w:ilvl w:val="1"/>
          <w:numId w:val="5"/>
        </w:numPr>
        <w:tabs>
          <w:tab w:val="clear" w:pos="4252"/>
          <w:tab w:val="clear" w:pos="8504"/>
          <w:tab w:val="left" w:pos="567" w:leader="none"/>
          <w:tab w:val="left" w:pos="709" w:leader="none"/>
        </w:tabs>
        <w:spacing w:lineRule="auto" w:line="276"/>
        <w:ind w:hanging="0" w:left="0"/>
        <w:jc w:val="both"/>
        <w:rPr>
          <w:sz w:val="24"/>
          <w:szCs w:val="24"/>
        </w:rPr>
      </w:pPr>
      <w:r>
        <w:rPr>
          <w:sz w:val="24"/>
          <w:szCs w:val="24"/>
        </w:rPr>
        <w:t xml:space="preserve">Empresário cujo estatuto ou contrato social não seja pertinente e compatível com o objeto deste </w:t>
      </w:r>
      <w:r>
        <w:rPr>
          <w:b/>
          <w:sz w:val="24"/>
          <w:szCs w:val="24"/>
        </w:rPr>
        <w:t>Pregão;</w:t>
      </w:r>
    </w:p>
    <w:p>
      <w:pPr>
        <w:pStyle w:val="Header"/>
        <w:widowControl w:val="false"/>
        <w:numPr>
          <w:ilvl w:val="1"/>
          <w:numId w:val="5"/>
        </w:numPr>
        <w:tabs>
          <w:tab w:val="clear" w:pos="4252"/>
          <w:tab w:val="clear" w:pos="8504"/>
          <w:tab w:val="left" w:pos="567" w:leader="none"/>
          <w:tab w:val="left" w:pos="709" w:leader="none"/>
        </w:tabs>
        <w:spacing w:lineRule="auto" w:line="276"/>
        <w:ind w:hanging="0" w:left="0"/>
        <w:jc w:val="both"/>
        <w:rPr>
          <w:sz w:val="24"/>
          <w:szCs w:val="24"/>
        </w:rPr>
      </w:pPr>
      <w:r>
        <w:rPr>
          <w:sz w:val="24"/>
          <w:szCs w:val="24"/>
        </w:rPr>
        <w:t>Empresário que se encontre em processo de dissolução, recuperação extrajudicial, falência, concordata, fusão, cisão ou incorporação;</w:t>
      </w:r>
    </w:p>
    <w:p>
      <w:pPr>
        <w:pStyle w:val="Header"/>
        <w:widowControl w:val="false"/>
        <w:numPr>
          <w:ilvl w:val="1"/>
          <w:numId w:val="5"/>
        </w:numPr>
        <w:tabs>
          <w:tab w:val="clear" w:pos="4252"/>
          <w:tab w:val="clear" w:pos="8504"/>
          <w:tab w:val="left" w:pos="709" w:leader="none"/>
          <w:tab w:val="left" w:pos="993" w:leader="none"/>
        </w:tabs>
        <w:spacing w:lineRule="auto" w:line="276"/>
        <w:ind w:hanging="0" w:left="0"/>
        <w:jc w:val="both"/>
        <w:rPr>
          <w:sz w:val="24"/>
          <w:szCs w:val="24"/>
        </w:rPr>
      </w:pPr>
      <w:r>
        <w:rPr>
          <w:sz w:val="24"/>
          <w:szCs w:val="24"/>
        </w:rPr>
        <w:t>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pPr>
        <w:pStyle w:val="Header"/>
        <w:widowControl w:val="false"/>
        <w:numPr>
          <w:ilvl w:val="1"/>
          <w:numId w:val="5"/>
        </w:numPr>
        <w:tabs>
          <w:tab w:val="clear" w:pos="4252"/>
          <w:tab w:val="clear" w:pos="8504"/>
          <w:tab w:val="left" w:pos="709" w:leader="none"/>
          <w:tab w:val="left" w:pos="993" w:leader="none"/>
        </w:tabs>
        <w:spacing w:lineRule="auto" w:line="276"/>
        <w:ind w:hanging="0" w:left="0"/>
        <w:jc w:val="both"/>
        <w:rPr>
          <w:sz w:val="24"/>
          <w:szCs w:val="24"/>
        </w:rPr>
      </w:pPr>
      <w:r>
        <w:rPr>
          <w:sz w:val="24"/>
          <w:szCs w:val="24"/>
        </w:rPr>
        <w:t xml:space="preserve">Consórcio de empresa, qualquer que seja sua forma de constituição; </w:t>
      </w:r>
    </w:p>
    <w:p>
      <w:pPr>
        <w:pStyle w:val="Header"/>
        <w:widowControl w:val="false"/>
        <w:numPr>
          <w:ilvl w:val="1"/>
          <w:numId w:val="5"/>
        </w:numPr>
        <w:tabs>
          <w:tab w:val="clear" w:pos="4252"/>
          <w:tab w:val="clear" w:pos="8504"/>
          <w:tab w:val="left" w:pos="709" w:leader="none"/>
          <w:tab w:val="left" w:pos="993" w:leader="none"/>
          <w:tab w:val="center" w:pos="4419" w:leader="none"/>
          <w:tab w:val="right" w:pos="8838" w:leader="none"/>
        </w:tabs>
        <w:spacing w:lineRule="auto" w:line="276"/>
        <w:ind w:hanging="0" w:left="0"/>
        <w:jc w:val="both"/>
        <w:rPr>
          <w:sz w:val="24"/>
          <w:szCs w:val="24"/>
        </w:rPr>
      </w:pPr>
      <w:r>
        <w:rPr>
          <w:sz w:val="24"/>
          <w:szCs w:val="24"/>
        </w:rPr>
        <w:t>Cooperativa de mão de obra, conforme disposto no art. 5 da Lei n.º 12.690, de 19 de julho de 2012.</w:t>
      </w:r>
    </w:p>
    <w:p>
      <w:pPr>
        <w:pStyle w:val="Header"/>
        <w:widowControl w:val="false"/>
        <w:tabs>
          <w:tab w:val="left" w:pos="709" w:leader="none"/>
          <w:tab w:val="center" w:pos="4252" w:leader="none"/>
          <w:tab w:val="right" w:pos="8504" w:leader="none"/>
        </w:tabs>
        <w:spacing w:lineRule="auto" w:line="276"/>
        <w:rPr>
          <w:szCs w:val="24"/>
        </w:rPr>
      </w:pPr>
      <w:r>
        <w:rPr>
          <w:szCs w:val="24"/>
        </w:rPr>
      </w:r>
    </w:p>
    <w:p>
      <w:pPr>
        <w:pStyle w:val="Heading1"/>
        <w:keepNext w:val="false"/>
        <w:widowControl w:val="false"/>
        <w:shd w:val="clear" w:color="auto" w:fill="FF0000"/>
        <w:tabs>
          <w:tab w:val="clear" w:pos="708"/>
          <w:tab w:val="left" w:pos="1134" w:leader="none"/>
        </w:tabs>
        <w:spacing w:lineRule="auto" w:line="276"/>
        <w:jc w:val="both"/>
        <w:rPr/>
      </w:pPr>
      <w:r>
        <w:rPr/>
        <w:t>SEÇÃO IV – DA PROPOSTA</w:t>
      </w:r>
    </w:p>
    <w:p>
      <w:pPr>
        <w:pStyle w:val="Header"/>
        <w:widowControl w:val="false"/>
        <w:numPr>
          <w:ilvl w:val="0"/>
          <w:numId w:val="6"/>
        </w:numPr>
        <w:tabs>
          <w:tab w:val="clear" w:pos="4252"/>
          <w:tab w:val="clear" w:pos="8504"/>
        </w:tabs>
        <w:spacing w:lineRule="auto" w:line="276"/>
        <w:ind w:hanging="0" w:left="0"/>
        <w:jc w:val="both"/>
        <w:rPr>
          <w:sz w:val="24"/>
          <w:szCs w:val="24"/>
        </w:rPr>
      </w:pPr>
      <w:r>
        <w:rPr>
          <w:sz w:val="24"/>
          <w:szCs w:val="24"/>
        </w:rPr>
        <w:t xml:space="preserve">A </w:t>
      </w:r>
      <w:r>
        <w:rPr>
          <w:b/>
          <w:sz w:val="24"/>
          <w:szCs w:val="24"/>
        </w:rPr>
        <w:t>licitante</w:t>
      </w:r>
      <w:r>
        <w:rPr>
          <w:sz w:val="24"/>
          <w:szCs w:val="24"/>
        </w:rPr>
        <w:t xml:space="preserve"> deverá encaminhar proposta, exclusivamente por meio do sistema eletrônico, até a data e horário marcados no preâmbulo deste edital, no sítio </w:t>
      </w:r>
      <w:hyperlink r:id="rId4">
        <w:r>
          <w:rPr>
            <w:rStyle w:val="Hyperlink"/>
            <w:sz w:val="24"/>
            <w:szCs w:val="24"/>
          </w:rPr>
          <w:t>http://www.comprasnet.gov.br</w:t>
        </w:r>
      </w:hyperlink>
      <w:r>
        <w:rPr>
          <w:rStyle w:val="Hyperlink"/>
        </w:rPr>
        <w:t>/</w:t>
      </w:r>
      <w:r>
        <w:rPr>
          <w:sz w:val="24"/>
          <w:szCs w:val="24"/>
        </w:rPr>
        <w:t>, quando então encerrar-se-á automaticamente a fase de recebimento de propostas.</w:t>
      </w:r>
    </w:p>
    <w:p>
      <w:pPr>
        <w:pStyle w:val="Header"/>
        <w:widowControl w:val="false"/>
        <w:numPr>
          <w:ilvl w:val="1"/>
          <w:numId w:val="7"/>
        </w:numPr>
        <w:tabs>
          <w:tab w:val="clear" w:pos="4252"/>
          <w:tab w:val="clear" w:pos="8504"/>
          <w:tab w:val="left" w:pos="709" w:leader="none"/>
        </w:tabs>
        <w:spacing w:lineRule="auto" w:line="276"/>
        <w:ind w:hanging="0" w:left="0"/>
        <w:jc w:val="both"/>
        <w:rPr>
          <w:sz w:val="24"/>
          <w:szCs w:val="24"/>
        </w:rPr>
      </w:pPr>
      <w:r>
        <w:rPr>
          <w:sz w:val="24"/>
          <w:szCs w:val="24"/>
        </w:rPr>
        <w:t xml:space="preserve">A licitante deverá consignar, na forma expressa no sistema eletrônico, </w:t>
      </w:r>
      <w:r>
        <w:rPr>
          <w:b/>
          <w:sz w:val="24"/>
          <w:szCs w:val="24"/>
          <w:u w:val="single"/>
        </w:rPr>
        <w:t>preço unitário de cada item da proposta com no máximo 02 (duas) casas decimais após a vírgula</w:t>
      </w:r>
      <w:r>
        <w:rPr>
          <w:sz w:val="24"/>
          <w:szCs w:val="24"/>
        </w:rPr>
        <w:t>, já considerados e inclusos todos os insumos que o compõem, tais como tributos, fretes, tarifas, descontos e demais despesas decorrentes da execução do objeto.</w:t>
      </w:r>
    </w:p>
    <w:p>
      <w:pPr>
        <w:pStyle w:val="Header"/>
        <w:widowControl w:val="false"/>
        <w:numPr>
          <w:ilvl w:val="1"/>
          <w:numId w:val="7"/>
        </w:numPr>
        <w:tabs>
          <w:tab w:val="clear" w:pos="4252"/>
          <w:tab w:val="clear" w:pos="8504"/>
          <w:tab w:val="left" w:pos="709" w:leader="none"/>
        </w:tabs>
        <w:spacing w:lineRule="auto" w:line="276"/>
        <w:ind w:hanging="0" w:left="0"/>
        <w:jc w:val="both"/>
        <w:rPr>
          <w:sz w:val="24"/>
          <w:szCs w:val="24"/>
        </w:rPr>
      </w:pPr>
      <w:r>
        <w:rPr>
          <w:sz w:val="24"/>
          <w:szCs w:val="24"/>
        </w:rPr>
        <w:t xml:space="preserve">A </w:t>
      </w:r>
      <w:r>
        <w:rPr>
          <w:b/>
          <w:sz w:val="24"/>
          <w:szCs w:val="24"/>
        </w:rPr>
        <w:t>licitante</w:t>
      </w:r>
      <w:r>
        <w:rPr>
          <w:sz w:val="24"/>
          <w:szCs w:val="24"/>
        </w:rPr>
        <w:t xml:space="preserve"> deverá declarar, em campo próprio do sistema eletrônico, que cumpre plenamente os requisitos de habilitação e que sua proposta está em conformidade com as exigências do Edital.</w:t>
      </w:r>
    </w:p>
    <w:p>
      <w:pPr>
        <w:pStyle w:val="Header"/>
        <w:widowControl w:val="false"/>
        <w:numPr>
          <w:ilvl w:val="1"/>
          <w:numId w:val="7"/>
        </w:numPr>
        <w:tabs>
          <w:tab w:val="clear" w:pos="4252"/>
          <w:tab w:val="clear" w:pos="8504"/>
          <w:tab w:val="left" w:pos="709" w:leader="none"/>
        </w:tabs>
        <w:spacing w:lineRule="auto" w:line="276"/>
        <w:ind w:hanging="0" w:left="0"/>
        <w:jc w:val="both"/>
        <w:rPr>
          <w:sz w:val="24"/>
          <w:szCs w:val="24"/>
        </w:rPr>
      </w:pPr>
      <w:r>
        <w:rPr>
          <w:sz w:val="24"/>
          <w:szCs w:val="24"/>
        </w:rPr>
        <w:t xml:space="preserve">A </w:t>
      </w:r>
      <w:r>
        <w:rPr>
          <w:b/>
          <w:sz w:val="24"/>
          <w:szCs w:val="24"/>
        </w:rPr>
        <w:t>licitante</w:t>
      </w:r>
      <w:r>
        <w:rPr>
          <w:sz w:val="24"/>
          <w:szCs w:val="24"/>
        </w:rPr>
        <w:t xml:space="preserve"> deverá declarar, em campo próprio do Sistema, sob pena de inabilitação, que não emprega menores de dezoito anos em trabalho noturno, perigoso ou insalubre, nem menores de dezesseis anos em qualquer trabalho, salvo na condição de aprendiz, a partir dos quatorze anos.</w:t>
      </w:r>
    </w:p>
    <w:p>
      <w:pPr>
        <w:pStyle w:val="Header"/>
        <w:widowControl w:val="false"/>
        <w:numPr>
          <w:ilvl w:val="1"/>
          <w:numId w:val="7"/>
        </w:numPr>
        <w:tabs>
          <w:tab w:val="clear" w:pos="4252"/>
          <w:tab w:val="clear" w:pos="8504"/>
          <w:tab w:val="left" w:pos="709" w:leader="none"/>
        </w:tabs>
        <w:spacing w:lineRule="auto" w:line="276"/>
        <w:ind w:hanging="0" w:left="0"/>
        <w:jc w:val="both"/>
        <w:rPr>
          <w:sz w:val="24"/>
          <w:szCs w:val="24"/>
        </w:rPr>
      </w:pPr>
      <w:r>
        <w:rPr>
          <w:sz w:val="24"/>
          <w:szCs w:val="24"/>
        </w:rPr>
        <w:t xml:space="preserve">A </w:t>
      </w:r>
      <w:r>
        <w:rPr>
          <w:b/>
          <w:sz w:val="24"/>
          <w:szCs w:val="24"/>
        </w:rPr>
        <w:t>licitante</w:t>
      </w:r>
      <w:r>
        <w:rPr>
          <w:sz w:val="24"/>
          <w:szCs w:val="24"/>
        </w:rPr>
        <w:t xml:space="preserve"> enquadrada como microempresa ou empresa de pequeno porte deverá declarar, em campo próprio do Sistema, que atende aos requisitos do art. 3º da LC nº 123/2006 e 147/2014, para fazer jus aos benefícios previstos nessa lei.</w:t>
      </w:r>
    </w:p>
    <w:p>
      <w:pPr>
        <w:pStyle w:val="Header"/>
        <w:widowControl w:val="false"/>
        <w:numPr>
          <w:ilvl w:val="1"/>
          <w:numId w:val="7"/>
        </w:numPr>
        <w:tabs>
          <w:tab w:val="clear" w:pos="4252"/>
          <w:tab w:val="clear" w:pos="8504"/>
          <w:tab w:val="left" w:pos="709" w:leader="none"/>
        </w:tabs>
        <w:spacing w:lineRule="auto" w:line="276"/>
        <w:ind w:hanging="0" w:left="0"/>
        <w:jc w:val="both"/>
        <w:rPr>
          <w:sz w:val="24"/>
          <w:szCs w:val="24"/>
        </w:rPr>
      </w:pPr>
      <w:r>
        <w:rPr>
          <w:sz w:val="24"/>
          <w:szCs w:val="24"/>
        </w:rPr>
        <w:t xml:space="preserve">A declaração falsa relativa ao cumprimento dos requisitos de habilitação, à conformidade da proposta ou ao enquadramento como microempresa ou empresa de pequeno porte sujeitará a </w:t>
      </w:r>
      <w:r>
        <w:rPr>
          <w:b/>
          <w:sz w:val="24"/>
          <w:szCs w:val="24"/>
        </w:rPr>
        <w:t>licitante</w:t>
      </w:r>
      <w:r>
        <w:rPr>
          <w:sz w:val="24"/>
          <w:szCs w:val="24"/>
        </w:rPr>
        <w:t xml:space="preserve"> às sanções previstas neste Edital.</w:t>
      </w:r>
    </w:p>
    <w:p>
      <w:pPr>
        <w:pStyle w:val="Normal"/>
        <w:widowControl w:val="false"/>
        <w:spacing w:lineRule="auto" w:line="276"/>
        <w:jc w:val="both"/>
        <w:rPr>
          <w:sz w:val="24"/>
          <w:szCs w:val="24"/>
        </w:rPr>
      </w:pPr>
      <w:r>
        <w:rPr>
          <w:b/>
          <w:sz w:val="24"/>
          <w:szCs w:val="24"/>
        </w:rPr>
        <w:t>4.6.</w:t>
        <w:tab/>
      </w:r>
      <w:r>
        <w:rPr>
          <w:sz w:val="24"/>
          <w:szCs w:val="24"/>
        </w:rPr>
        <w:t>As propostas ficarão disponíveis no sistema eletrônico.</w:t>
      </w:r>
    </w:p>
    <w:p>
      <w:pPr>
        <w:pStyle w:val="Header"/>
        <w:widowControl w:val="false"/>
        <w:numPr>
          <w:ilvl w:val="1"/>
          <w:numId w:val="8"/>
        </w:numPr>
        <w:tabs>
          <w:tab w:val="clear" w:pos="4252"/>
          <w:tab w:val="clear" w:pos="8504"/>
          <w:tab w:val="left" w:pos="709" w:leader="none"/>
        </w:tabs>
        <w:spacing w:lineRule="auto" w:line="276"/>
        <w:ind w:hanging="0" w:left="0"/>
        <w:jc w:val="both"/>
        <w:rPr>
          <w:sz w:val="24"/>
          <w:szCs w:val="24"/>
        </w:rPr>
      </w:pPr>
      <w:r>
        <w:rPr>
          <w:sz w:val="24"/>
          <w:szCs w:val="24"/>
        </w:rPr>
        <w:t xml:space="preserve">Qualquer elemento que possa identificar a </w:t>
      </w:r>
      <w:r>
        <w:rPr>
          <w:b/>
          <w:sz w:val="24"/>
          <w:szCs w:val="24"/>
        </w:rPr>
        <w:t>licitante</w:t>
      </w:r>
      <w:r>
        <w:rPr>
          <w:sz w:val="24"/>
          <w:szCs w:val="24"/>
        </w:rPr>
        <w:t xml:space="preserve"> importa desclassificação da proposta, sem prejuízo das sanções previstas nesse Edital.</w:t>
      </w:r>
    </w:p>
    <w:p>
      <w:pPr>
        <w:pStyle w:val="Header"/>
        <w:widowControl w:val="false"/>
        <w:numPr>
          <w:ilvl w:val="1"/>
          <w:numId w:val="8"/>
        </w:numPr>
        <w:tabs>
          <w:tab w:val="clear" w:pos="4252"/>
          <w:tab w:val="clear" w:pos="8504"/>
          <w:tab w:val="left" w:pos="709" w:leader="none"/>
        </w:tabs>
        <w:spacing w:lineRule="auto" w:line="276"/>
        <w:ind w:hanging="0" w:left="0"/>
        <w:jc w:val="both"/>
        <w:rPr>
          <w:sz w:val="24"/>
          <w:szCs w:val="24"/>
        </w:rPr>
      </w:pPr>
      <w:r>
        <w:rPr>
          <w:sz w:val="24"/>
          <w:szCs w:val="24"/>
        </w:rPr>
        <w:t xml:space="preserve">Até </w:t>
      </w:r>
      <w:r>
        <w:rPr>
          <w:b/>
          <w:bCs/>
          <w:sz w:val="24"/>
          <w:szCs w:val="24"/>
        </w:rPr>
        <w:t>as 10:00 (dez goras) do dia 22</w:t>
      </w:r>
      <w:r>
        <w:rPr>
          <w:b/>
          <w:bCs/>
          <w:color w:val="111111"/>
          <w:sz w:val="24"/>
          <w:szCs w:val="24"/>
        </w:rPr>
        <w:t xml:space="preserve"> de Fevereiro de 2024</w:t>
      </w:r>
      <w:r>
        <w:rPr>
          <w:sz w:val="24"/>
          <w:szCs w:val="24"/>
        </w:rPr>
        <w:t xml:space="preserve">, a </w:t>
      </w:r>
      <w:r>
        <w:rPr>
          <w:b/>
          <w:sz w:val="24"/>
          <w:szCs w:val="24"/>
        </w:rPr>
        <w:t>licitante</w:t>
      </w:r>
      <w:r>
        <w:rPr>
          <w:sz w:val="24"/>
          <w:szCs w:val="24"/>
        </w:rPr>
        <w:t xml:space="preserve"> poderá retirar ou substituir a proposta anteriormente encaminhada. </w:t>
      </w:r>
    </w:p>
    <w:p>
      <w:pPr>
        <w:pStyle w:val="Normal"/>
        <w:widowControl w:val="false"/>
        <w:spacing w:lineRule="auto" w:line="276"/>
        <w:jc w:val="both"/>
        <w:rPr>
          <w:sz w:val="24"/>
          <w:szCs w:val="24"/>
        </w:rPr>
      </w:pPr>
      <w:r>
        <w:rPr>
          <w:b/>
          <w:sz w:val="24"/>
          <w:szCs w:val="24"/>
        </w:rPr>
        <w:t>4.9</w:t>
        <w:tab/>
      </w:r>
      <w:r>
        <w:rPr>
          <w:sz w:val="24"/>
          <w:szCs w:val="24"/>
        </w:rPr>
        <w:t xml:space="preserve">As propostas terão validade de </w:t>
      </w:r>
      <w:r>
        <w:rPr>
          <w:b/>
          <w:bCs/>
          <w:sz w:val="24"/>
          <w:szCs w:val="24"/>
        </w:rPr>
        <w:t>60 (sessenta) dias</w:t>
      </w:r>
      <w:r>
        <w:rPr>
          <w:sz w:val="24"/>
          <w:szCs w:val="24"/>
        </w:rPr>
        <w:t>, contados da data de abertura da sessão pública estabelecida no preâmbulo deste Edital.</w:t>
      </w:r>
    </w:p>
    <w:p>
      <w:pPr>
        <w:pStyle w:val="Header"/>
        <w:widowControl w:val="false"/>
        <w:spacing w:lineRule="auto" w:line="276"/>
        <w:rPr>
          <w:sz w:val="24"/>
          <w:szCs w:val="24"/>
        </w:rPr>
      </w:pPr>
      <w:r>
        <w:rPr>
          <w:b/>
          <w:sz w:val="24"/>
          <w:szCs w:val="24"/>
        </w:rPr>
        <w:t xml:space="preserve">4.10 </w:t>
        <w:tab/>
      </w:r>
      <w:r>
        <w:rPr>
          <w:sz w:val="24"/>
          <w:szCs w:val="24"/>
        </w:rPr>
        <w:t xml:space="preserve">Decorrido o prazo de validade das propostas, sem convocação para contratação, ficam as </w:t>
      </w:r>
      <w:r>
        <w:rPr>
          <w:b/>
          <w:sz w:val="24"/>
          <w:szCs w:val="24"/>
        </w:rPr>
        <w:t>licitantes</w:t>
      </w:r>
      <w:r>
        <w:rPr>
          <w:sz w:val="24"/>
          <w:szCs w:val="24"/>
        </w:rPr>
        <w:t xml:space="preserve"> liberadas dos compromissos assumidos.</w:t>
      </w:r>
    </w:p>
    <w:p>
      <w:pPr>
        <w:pStyle w:val="Heading1"/>
        <w:keepNext w:val="false"/>
        <w:widowControl w:val="false"/>
        <w:tabs>
          <w:tab w:val="clear" w:pos="708"/>
          <w:tab w:val="left" w:pos="1134" w:leader="none"/>
        </w:tabs>
        <w:spacing w:lineRule="auto" w:line="276"/>
        <w:jc w:val="both"/>
        <w:rPr/>
      </w:pPr>
      <w:r>
        <w:rPr/>
      </w:r>
    </w:p>
    <w:p>
      <w:pPr>
        <w:pStyle w:val="Heading1"/>
        <w:keepNext w:val="false"/>
        <w:widowControl w:val="false"/>
        <w:shd w:val="clear" w:color="auto" w:fill="FF0000"/>
        <w:tabs>
          <w:tab w:val="clear" w:pos="708"/>
          <w:tab w:val="left" w:pos="1134" w:leader="none"/>
        </w:tabs>
        <w:spacing w:lineRule="auto" w:line="276"/>
        <w:jc w:val="both"/>
        <w:rPr/>
      </w:pPr>
      <w:r>
        <w:rPr/>
        <w:t>SEÇÃO V – DA ABERTURA DA SESSÃO PÚBLICA</w:t>
      </w:r>
    </w:p>
    <w:p>
      <w:pPr>
        <w:pStyle w:val="Normal"/>
        <w:widowControl w:val="false"/>
        <w:numPr>
          <w:ilvl w:val="0"/>
          <w:numId w:val="8"/>
        </w:numPr>
        <w:tabs>
          <w:tab w:val="clear" w:pos="708"/>
          <w:tab w:val="left" w:pos="567" w:leader="none"/>
        </w:tabs>
        <w:spacing w:lineRule="auto" w:line="276"/>
        <w:ind w:hanging="0" w:left="0"/>
        <w:jc w:val="both"/>
        <w:rPr/>
      </w:pPr>
      <w:r>
        <w:rPr>
          <w:sz w:val="24"/>
          <w:szCs w:val="24"/>
        </w:rPr>
        <w:t xml:space="preserve">A abertura da sessão pública deste </w:t>
      </w:r>
      <w:r>
        <w:rPr>
          <w:b/>
          <w:sz w:val="24"/>
          <w:szCs w:val="24"/>
        </w:rPr>
        <w:t>Pregão</w:t>
      </w:r>
      <w:r>
        <w:rPr>
          <w:sz w:val="24"/>
          <w:szCs w:val="24"/>
        </w:rPr>
        <w:t xml:space="preserve">, conduzida pelo(a) Pregoeiro(a), ocorrerá na data e na hora indicadas no preâmbulo deste Edital, no sítio </w:t>
      </w:r>
      <w:hyperlink r:id="rId5">
        <w:r>
          <w:rPr>
            <w:rStyle w:val="Hyperlink"/>
            <w:sz w:val="24"/>
            <w:szCs w:val="24"/>
          </w:rPr>
          <w:t>http://www.comprasnet.gov.br</w:t>
        </w:r>
      </w:hyperlink>
      <w:r>
        <w:rPr>
          <w:rStyle w:val="Hyperlink"/>
        </w:rPr>
        <w:t>/.</w:t>
      </w:r>
    </w:p>
    <w:p>
      <w:pPr>
        <w:pStyle w:val="Header"/>
        <w:widowControl w:val="false"/>
        <w:tabs>
          <w:tab w:val="left" w:pos="567" w:leader="none"/>
          <w:tab w:val="center" w:pos="4252" w:leader="none"/>
          <w:tab w:val="right" w:pos="8504" w:leader="none"/>
        </w:tabs>
        <w:spacing w:lineRule="auto" w:line="276"/>
        <w:jc w:val="both"/>
        <w:rPr/>
      </w:pPr>
      <w:r>
        <w:rPr>
          <w:b/>
          <w:sz w:val="24"/>
          <w:szCs w:val="24"/>
        </w:rPr>
        <w:t>5.2</w:t>
        <w:tab/>
      </w:r>
      <w:r>
        <w:rPr>
          <w:sz w:val="24"/>
          <w:szCs w:val="24"/>
        </w:rPr>
        <w:t xml:space="preserve">Durante a sessão pública, a comunicação entre o(a) Pregoeiro(a) e as </w:t>
      </w:r>
      <w:r>
        <w:rPr>
          <w:b/>
          <w:sz w:val="24"/>
          <w:szCs w:val="24"/>
        </w:rPr>
        <w:t>licitantes</w:t>
      </w:r>
      <w:r>
        <w:rPr>
          <w:sz w:val="24"/>
          <w:szCs w:val="24"/>
        </w:rPr>
        <w:t xml:space="preserve"> ocorrerá exclusivamente mediante troca de mensagens, em campo próprio do sistema eletrônico.</w:t>
      </w:r>
    </w:p>
    <w:p>
      <w:pPr>
        <w:pStyle w:val="Header"/>
        <w:widowControl w:val="false"/>
        <w:tabs>
          <w:tab w:val="left" w:pos="567" w:leader="none"/>
          <w:tab w:val="center" w:pos="4252" w:leader="none"/>
          <w:tab w:val="right" w:pos="8504" w:leader="none"/>
        </w:tabs>
        <w:spacing w:lineRule="auto" w:line="276"/>
        <w:jc w:val="both"/>
        <w:rPr/>
      </w:pPr>
      <w:r>
        <w:rPr>
          <w:b/>
          <w:sz w:val="24"/>
          <w:szCs w:val="24"/>
        </w:rPr>
        <w:t>5.3</w:t>
        <w:tab/>
      </w:r>
      <w:r>
        <w:rPr>
          <w:sz w:val="24"/>
          <w:szCs w:val="24"/>
        </w:rPr>
        <w:t xml:space="preserve">Cabe à </w:t>
      </w:r>
      <w:r>
        <w:rPr>
          <w:b/>
          <w:sz w:val="24"/>
          <w:szCs w:val="24"/>
        </w:rPr>
        <w:t>licitante</w:t>
      </w:r>
      <w:r>
        <w:rPr>
          <w:sz w:val="24"/>
          <w:szCs w:val="24"/>
        </w:rPr>
        <w:t xml:space="preserve"> acompanhar as operações no sistema eletrônico durante a sessão pública do </w:t>
      </w:r>
      <w:r>
        <w:rPr>
          <w:b/>
          <w:sz w:val="24"/>
          <w:szCs w:val="24"/>
        </w:rPr>
        <w:t>Pregão</w:t>
      </w:r>
      <w:r>
        <w:rPr>
          <w:sz w:val="24"/>
          <w:szCs w:val="24"/>
        </w:rPr>
        <w:t>, ficando responsável pelo ônus decorrente da perda de negócios diante da inobservância de qualquer mensagem emitida pelo sistema ou de sua desconexão.</w:t>
      </w:r>
    </w:p>
    <w:p>
      <w:pPr>
        <w:pStyle w:val="Header"/>
        <w:widowControl w:val="false"/>
        <w:tabs>
          <w:tab w:val="left" w:pos="567" w:leader="none"/>
          <w:tab w:val="center" w:pos="4252" w:leader="none"/>
          <w:tab w:val="right" w:pos="8504" w:leader="none"/>
        </w:tabs>
        <w:spacing w:lineRule="auto" w:line="276"/>
        <w:jc w:val="both"/>
        <w:rPr/>
      </w:pPr>
      <w:r>
        <w:rPr>
          <w:b/>
          <w:bCs/>
          <w:sz w:val="24"/>
          <w:szCs w:val="24"/>
        </w:rPr>
        <w:t>5.4</w:t>
      </w:r>
      <w:r>
        <w:rPr>
          <w:bCs/>
          <w:sz w:val="24"/>
          <w:szCs w:val="24"/>
        </w:rPr>
        <w:tab/>
      </w:r>
      <w:r>
        <w:rPr>
          <w:b/>
          <w:bCs/>
          <w:sz w:val="24"/>
          <w:szCs w:val="24"/>
        </w:rPr>
        <w:t>Informa-se ainda que devido ao caráter sigiloso das licitações, na fase de lances, o(a) Pregoeiro(a) não atenderá ao telefone para responder questões inerentes ao presente Pregão.</w:t>
      </w:r>
    </w:p>
    <w:p>
      <w:pPr>
        <w:pStyle w:val="Heading1"/>
        <w:keepNext w:val="false"/>
        <w:widowControl w:val="false"/>
        <w:tabs>
          <w:tab w:val="clear" w:pos="708"/>
          <w:tab w:val="left" w:pos="567" w:leader="none"/>
        </w:tabs>
        <w:spacing w:lineRule="auto" w:line="276"/>
        <w:jc w:val="both"/>
        <w:rPr/>
      </w:pPr>
      <w:r>
        <w:rPr/>
      </w:r>
    </w:p>
    <w:p>
      <w:pPr>
        <w:pStyle w:val="Heading1"/>
        <w:keepNext w:val="false"/>
        <w:widowControl w:val="false"/>
        <w:shd w:val="clear" w:color="auto" w:fill="FF0000"/>
        <w:tabs>
          <w:tab w:val="clear" w:pos="708"/>
          <w:tab w:val="left" w:pos="567" w:leader="none"/>
        </w:tabs>
        <w:spacing w:lineRule="auto" w:line="276"/>
        <w:jc w:val="both"/>
        <w:rPr/>
      </w:pPr>
      <w:r>
        <w:rPr/>
        <w:t>SEÇÃO VI – DA CLASSIFICAÇÃO DAS PROPOSTAS</w:t>
      </w:r>
    </w:p>
    <w:p>
      <w:pPr>
        <w:pStyle w:val="Header"/>
        <w:widowControl w:val="false"/>
        <w:numPr>
          <w:ilvl w:val="0"/>
          <w:numId w:val="9"/>
        </w:numPr>
        <w:tabs>
          <w:tab w:val="clear" w:pos="4252"/>
          <w:tab w:val="clear" w:pos="8504"/>
          <w:tab w:val="left" w:pos="426" w:leader="none"/>
        </w:tabs>
        <w:spacing w:lineRule="auto" w:line="276"/>
        <w:ind w:hanging="0" w:left="0"/>
        <w:jc w:val="both"/>
        <w:rPr>
          <w:sz w:val="24"/>
          <w:szCs w:val="24"/>
        </w:rPr>
      </w:pPr>
      <w:r>
        <w:rPr>
          <w:sz w:val="24"/>
          <w:szCs w:val="24"/>
        </w:rPr>
        <w:t>O(a) Pregoeiro(a) verificará as propostas apresentadas e desclassificará, motivadamente, aquelas que não estejam em conformidade com os requisitos estabelecidos neste Edital.</w:t>
      </w:r>
    </w:p>
    <w:p>
      <w:pPr>
        <w:pStyle w:val="Header"/>
        <w:widowControl w:val="false"/>
        <w:tabs>
          <w:tab w:val="left" w:pos="426" w:leader="none"/>
          <w:tab w:val="center" w:pos="4252" w:leader="none"/>
          <w:tab w:val="right" w:pos="8504" w:leader="none"/>
        </w:tabs>
        <w:spacing w:lineRule="auto" w:line="276"/>
        <w:rPr>
          <w:sz w:val="24"/>
          <w:szCs w:val="24"/>
        </w:rPr>
      </w:pPr>
      <w:r>
        <w:rPr>
          <w:b/>
          <w:sz w:val="24"/>
          <w:szCs w:val="24"/>
        </w:rPr>
        <w:t>6.2</w:t>
        <w:tab/>
      </w:r>
      <w:r>
        <w:rPr>
          <w:sz w:val="24"/>
          <w:szCs w:val="24"/>
        </w:rPr>
        <w:t xml:space="preserve">Somente as </w:t>
      </w:r>
      <w:r>
        <w:rPr>
          <w:b/>
          <w:sz w:val="24"/>
          <w:szCs w:val="24"/>
        </w:rPr>
        <w:t>licitantes</w:t>
      </w:r>
      <w:r>
        <w:rPr>
          <w:sz w:val="24"/>
          <w:szCs w:val="24"/>
        </w:rPr>
        <w:t xml:space="preserve"> com propostas classificadas participarão da fase de lances.</w:t>
      </w:r>
    </w:p>
    <w:p>
      <w:pPr>
        <w:pStyle w:val="Heading1"/>
        <w:keepNext w:val="false"/>
        <w:widowControl w:val="false"/>
        <w:tabs>
          <w:tab w:val="clear" w:pos="708"/>
          <w:tab w:val="left" w:pos="567" w:leader="none"/>
        </w:tabs>
        <w:spacing w:lineRule="auto" w:line="276"/>
        <w:jc w:val="both"/>
        <w:rPr/>
      </w:pPr>
      <w:r>
        <w:rPr/>
      </w:r>
    </w:p>
    <w:p>
      <w:pPr>
        <w:pStyle w:val="Heading1"/>
        <w:keepNext w:val="false"/>
        <w:widowControl w:val="false"/>
        <w:shd w:val="clear" w:color="auto" w:fill="FF0000"/>
        <w:tabs>
          <w:tab w:val="clear" w:pos="708"/>
          <w:tab w:val="left" w:pos="567" w:leader="none"/>
        </w:tabs>
        <w:spacing w:lineRule="auto" w:line="276"/>
        <w:jc w:val="both"/>
        <w:rPr/>
      </w:pPr>
      <w:r>
        <w:rPr/>
        <w:t>SEÇÃO VII – DA FORMULAÇÃO DE LANCES</w:t>
      </w:r>
    </w:p>
    <w:p>
      <w:pPr>
        <w:pStyle w:val="Normal"/>
        <w:widowControl w:val="false"/>
        <w:numPr>
          <w:ilvl w:val="0"/>
          <w:numId w:val="9"/>
        </w:numPr>
        <w:tabs>
          <w:tab w:val="clear" w:pos="708"/>
          <w:tab w:val="left" w:pos="426" w:leader="none"/>
        </w:tabs>
        <w:spacing w:lineRule="auto" w:line="276"/>
        <w:ind w:hanging="0" w:left="0"/>
        <w:jc w:val="both"/>
        <w:rPr>
          <w:sz w:val="24"/>
          <w:szCs w:val="24"/>
        </w:rPr>
      </w:pPr>
      <w:r>
        <w:rPr>
          <w:sz w:val="24"/>
          <w:szCs w:val="24"/>
        </w:rPr>
        <w:t xml:space="preserve">Aberta a etapa competitiva, as </w:t>
      </w:r>
      <w:r>
        <w:rPr>
          <w:b/>
          <w:sz w:val="24"/>
          <w:szCs w:val="24"/>
        </w:rPr>
        <w:t>licitantes</w:t>
      </w:r>
      <w:r>
        <w:rPr>
          <w:sz w:val="24"/>
          <w:szCs w:val="24"/>
        </w:rPr>
        <w:t xml:space="preserve"> classificadas poderão encaminhar lances sucessivos, exclusivamente por meio do sistema eletrônico, sendo imediatamente informadas do horário e valor consignados no registro de cada lance.</w:t>
      </w:r>
    </w:p>
    <w:p>
      <w:pPr>
        <w:pStyle w:val="Header"/>
        <w:widowControl w:val="false"/>
        <w:tabs>
          <w:tab w:val="left" w:pos="426" w:leader="none"/>
          <w:tab w:val="center" w:pos="4252" w:leader="none"/>
          <w:tab w:val="right" w:pos="8504" w:leader="none"/>
        </w:tabs>
        <w:spacing w:lineRule="auto" w:line="276"/>
        <w:rPr>
          <w:sz w:val="24"/>
          <w:szCs w:val="24"/>
        </w:rPr>
      </w:pPr>
      <w:r>
        <w:rPr>
          <w:b/>
          <w:sz w:val="24"/>
          <w:szCs w:val="24"/>
        </w:rPr>
        <w:t>7.2</w:t>
        <w:tab/>
      </w:r>
      <w:r>
        <w:rPr>
          <w:sz w:val="24"/>
          <w:szCs w:val="24"/>
        </w:rPr>
        <w:t xml:space="preserve">A </w:t>
      </w:r>
      <w:r>
        <w:rPr>
          <w:b/>
          <w:sz w:val="24"/>
          <w:szCs w:val="24"/>
        </w:rPr>
        <w:t>licitante</w:t>
      </w:r>
      <w:r>
        <w:rPr>
          <w:sz w:val="24"/>
          <w:szCs w:val="24"/>
        </w:rPr>
        <w:t xml:space="preserve"> somente poderá oferecer lance inferior ao último por ela ofertado e registrado no sistema.</w:t>
      </w:r>
    </w:p>
    <w:p>
      <w:pPr>
        <w:pStyle w:val="Header"/>
        <w:widowControl w:val="false"/>
        <w:tabs>
          <w:tab w:val="left" w:pos="426" w:leader="none"/>
          <w:tab w:val="center" w:pos="4252" w:leader="none"/>
          <w:tab w:val="right" w:pos="8504" w:leader="none"/>
        </w:tabs>
        <w:spacing w:lineRule="auto" w:line="276"/>
        <w:jc w:val="both"/>
        <w:rPr>
          <w:sz w:val="24"/>
          <w:szCs w:val="24"/>
        </w:rPr>
      </w:pPr>
      <w:r>
        <w:rPr>
          <w:b/>
          <w:sz w:val="24"/>
          <w:szCs w:val="24"/>
        </w:rPr>
        <w:t>7.3</w:t>
      </w:r>
      <w:r>
        <w:rPr>
          <w:b w:val="false"/>
          <w:bCs w:val="false"/>
          <w:sz w:val="24"/>
          <w:szCs w:val="24"/>
        </w:rPr>
        <w:tab/>
        <w:t xml:space="preserve">O intervalo mínimo de diferença de valores ou percentuais entre os lances, que incidirá tanto em relação aos lances intermediários quanto em relação à proposta que cobrir a melhor oferta deverá ser de </w:t>
      </w:r>
      <w:r>
        <w:rPr>
          <w:b w:val="false"/>
          <w:bCs w:val="false"/>
          <w:sz w:val="24"/>
          <w:szCs w:val="24"/>
        </w:rPr>
        <w:t>0,01%</w:t>
      </w:r>
      <w:r>
        <w:rPr>
          <w:b w:val="false"/>
          <w:bCs w:val="false"/>
          <w:sz w:val="24"/>
          <w:szCs w:val="24"/>
        </w:rPr>
        <w:t xml:space="preserve">. </w:t>
      </w:r>
    </w:p>
    <w:p>
      <w:pPr>
        <w:pStyle w:val="Header"/>
        <w:widowControl w:val="false"/>
        <w:tabs>
          <w:tab w:val="left" w:pos="426" w:leader="none"/>
          <w:tab w:val="center" w:pos="4252" w:leader="none"/>
          <w:tab w:val="right" w:pos="8504" w:leader="none"/>
        </w:tabs>
        <w:spacing w:lineRule="auto" w:line="276"/>
        <w:rPr>
          <w:sz w:val="24"/>
          <w:szCs w:val="24"/>
        </w:rPr>
      </w:pPr>
      <w:r>
        <w:rPr>
          <w:b/>
          <w:sz w:val="24"/>
          <w:szCs w:val="24"/>
        </w:rPr>
        <w:t>7.4</w:t>
        <w:tab/>
      </w:r>
      <w:r>
        <w:rPr>
          <w:sz w:val="24"/>
          <w:szCs w:val="24"/>
        </w:rPr>
        <w:t>Em caso de empate, prevalecerá o lance recebido e registrado primeiro.</w:t>
      </w:r>
    </w:p>
    <w:p>
      <w:pPr>
        <w:pStyle w:val="Header"/>
        <w:widowControl w:val="false"/>
        <w:tabs>
          <w:tab w:val="left" w:pos="426" w:leader="none"/>
          <w:tab w:val="center" w:pos="4252" w:leader="none"/>
          <w:tab w:val="right" w:pos="8504" w:leader="none"/>
        </w:tabs>
        <w:spacing w:lineRule="auto" w:line="276"/>
        <w:rPr>
          <w:sz w:val="24"/>
          <w:szCs w:val="24"/>
        </w:rPr>
      </w:pPr>
      <w:r>
        <w:rPr>
          <w:b/>
          <w:sz w:val="24"/>
          <w:szCs w:val="24"/>
        </w:rPr>
        <w:t>7.5</w:t>
        <w:tab/>
      </w:r>
      <w:r>
        <w:rPr>
          <w:sz w:val="24"/>
          <w:szCs w:val="24"/>
        </w:rPr>
        <w:t xml:space="preserve">Os lances apresentados e levados em consideração para efeito de julgamento serão de exclusiva e total responsabilidade da </w:t>
      </w:r>
      <w:r>
        <w:rPr>
          <w:b/>
          <w:sz w:val="24"/>
          <w:szCs w:val="24"/>
        </w:rPr>
        <w:t>licitante</w:t>
      </w:r>
      <w:r>
        <w:rPr>
          <w:sz w:val="24"/>
          <w:szCs w:val="24"/>
        </w:rPr>
        <w:t>, não lhe cabendo o direito de pleitear qualquer alteração.</w:t>
      </w:r>
    </w:p>
    <w:p>
      <w:pPr>
        <w:pStyle w:val="Header"/>
        <w:widowControl w:val="false"/>
        <w:tabs>
          <w:tab w:val="left" w:pos="426" w:leader="none"/>
          <w:tab w:val="center" w:pos="4252" w:leader="none"/>
          <w:tab w:val="right" w:pos="8504" w:leader="none"/>
        </w:tabs>
        <w:spacing w:lineRule="auto" w:line="276"/>
        <w:rPr>
          <w:sz w:val="24"/>
          <w:szCs w:val="24"/>
        </w:rPr>
      </w:pPr>
      <w:r>
        <w:rPr>
          <w:b/>
          <w:sz w:val="24"/>
          <w:szCs w:val="24"/>
        </w:rPr>
        <w:t>7.6</w:t>
        <w:tab/>
      </w:r>
      <w:r>
        <w:rPr>
          <w:sz w:val="24"/>
          <w:szCs w:val="24"/>
        </w:rPr>
        <w:t>Durante a fase de lances, o(a) Pregoeiro(a) poderá excluir, justificadamente, lance cujo valor seja manifestamente inexequível.</w:t>
      </w:r>
    </w:p>
    <w:p>
      <w:pPr>
        <w:pStyle w:val="Header"/>
        <w:widowControl w:val="false"/>
        <w:tabs>
          <w:tab w:val="left" w:pos="426" w:leader="none"/>
          <w:tab w:val="center" w:pos="4252" w:leader="none"/>
          <w:tab w:val="right" w:pos="8504" w:leader="none"/>
        </w:tabs>
        <w:spacing w:lineRule="auto" w:line="276"/>
        <w:jc w:val="both"/>
        <w:rPr>
          <w:b/>
          <w:sz w:val="24"/>
          <w:szCs w:val="24"/>
        </w:rPr>
      </w:pPr>
      <w:r>
        <w:rPr>
          <w:b/>
          <w:sz w:val="24"/>
          <w:szCs w:val="24"/>
        </w:rPr>
        <w:t>7.7</w:t>
        <w:tab/>
      </w:r>
      <w:r>
        <w:rPr>
          <w:sz w:val="24"/>
          <w:szCs w:val="24"/>
        </w:rPr>
        <w:t xml:space="preserve">Se ocorrer a desconexão do(a) Pregoeiro(a) no decorrer da etapa de lances, e o sistema eletrônico permanecer acessível às </w:t>
      </w:r>
      <w:r>
        <w:rPr>
          <w:b/>
          <w:sz w:val="24"/>
          <w:szCs w:val="24"/>
        </w:rPr>
        <w:t>licitantes,</w:t>
      </w:r>
      <w:r>
        <w:rPr>
          <w:sz w:val="24"/>
          <w:szCs w:val="24"/>
        </w:rPr>
        <w:t xml:space="preserve"> os lances continuarão sendo recebidos, sem prejuízo dos atos realizados.</w:t>
      </w:r>
    </w:p>
    <w:p>
      <w:pPr>
        <w:pStyle w:val="Header"/>
        <w:widowControl w:val="false"/>
        <w:tabs>
          <w:tab w:val="left" w:pos="426" w:leader="none"/>
          <w:tab w:val="center" w:pos="4252" w:leader="none"/>
          <w:tab w:val="right" w:pos="8504" w:leader="none"/>
        </w:tabs>
        <w:spacing w:lineRule="auto" w:line="276"/>
        <w:jc w:val="both"/>
        <w:rPr>
          <w:b/>
          <w:sz w:val="24"/>
          <w:szCs w:val="24"/>
        </w:rPr>
      </w:pPr>
      <w:r>
        <w:rPr>
          <w:b/>
          <w:sz w:val="24"/>
          <w:szCs w:val="24"/>
        </w:rPr>
        <w:t>7.8</w:t>
        <w:tab/>
      </w:r>
      <w:r>
        <w:rPr>
          <w:sz w:val="24"/>
          <w:szCs w:val="24"/>
        </w:rPr>
        <w:t xml:space="preserve">No caso de a desconexão do(a) Pregoeiro(a) persistir por tempo superior a 10 (dez) minutos, a sessão do </w:t>
      </w:r>
      <w:r>
        <w:rPr>
          <w:b/>
          <w:sz w:val="24"/>
          <w:szCs w:val="24"/>
        </w:rPr>
        <w:t>Pregão</w:t>
      </w:r>
      <w:r>
        <w:rPr>
          <w:sz w:val="24"/>
          <w:szCs w:val="24"/>
        </w:rPr>
        <w:t xml:space="preserve"> será suspensa automaticamente e terá reinício somente após comunicação expressa às participantes no sítio </w:t>
      </w:r>
      <w:hyperlink r:id="rId6">
        <w:r>
          <w:rPr>
            <w:rStyle w:val="Hyperlink"/>
            <w:sz w:val="24"/>
            <w:szCs w:val="24"/>
          </w:rPr>
          <w:t>http://www.comprasnet.gov.br</w:t>
        </w:r>
      </w:hyperlink>
      <w:r>
        <w:rPr>
          <w:rStyle w:val="Hyperlink"/>
        </w:rPr>
        <w:t>/</w:t>
      </w:r>
      <w:r>
        <w:rPr>
          <w:sz w:val="24"/>
          <w:szCs w:val="24"/>
        </w:rPr>
        <w:t xml:space="preserve">. </w:t>
      </w:r>
    </w:p>
    <w:p>
      <w:pPr>
        <w:pStyle w:val="Header"/>
        <w:widowControl w:val="false"/>
        <w:tabs>
          <w:tab w:val="left" w:pos="426" w:leader="none"/>
          <w:tab w:val="center" w:pos="4252" w:leader="none"/>
          <w:tab w:val="right" w:pos="8504" w:leader="none"/>
        </w:tabs>
        <w:spacing w:lineRule="auto" w:line="276"/>
        <w:jc w:val="both"/>
        <w:rPr>
          <w:b/>
          <w:sz w:val="24"/>
          <w:szCs w:val="24"/>
        </w:rPr>
      </w:pPr>
      <w:r>
        <w:rPr>
          <w:b/>
          <w:sz w:val="24"/>
          <w:szCs w:val="24"/>
        </w:rPr>
        <w:t>7.9</w:t>
        <w:tab/>
      </w:r>
      <w:r>
        <w:rPr>
          <w:sz w:val="24"/>
          <w:szCs w:val="24"/>
        </w:rPr>
        <w:t>O encerramento da etapa de lances será decidido pelo(a) Pregoeiro(a), que informará, com antecedência de 1 a 60 minutos, o prazo para início do tempo de iminência.</w:t>
      </w:r>
    </w:p>
    <w:p>
      <w:pPr>
        <w:pStyle w:val="Header"/>
        <w:widowControl w:val="false"/>
        <w:tabs>
          <w:tab w:val="left" w:pos="426" w:leader="none"/>
          <w:tab w:val="center" w:pos="4252" w:leader="none"/>
          <w:tab w:val="right" w:pos="8504" w:leader="none"/>
        </w:tabs>
        <w:spacing w:lineRule="auto" w:line="276"/>
        <w:jc w:val="both"/>
        <w:rPr>
          <w:sz w:val="24"/>
          <w:szCs w:val="24"/>
        </w:rPr>
      </w:pPr>
      <w:r>
        <w:rPr>
          <w:b/>
          <w:sz w:val="24"/>
          <w:szCs w:val="24"/>
        </w:rPr>
        <w:t xml:space="preserve">7.10 </w:t>
      </w:r>
      <w:r>
        <w:rPr>
          <w:sz w:val="24"/>
          <w:szCs w:val="24"/>
        </w:rPr>
        <w:t>Decorrido o prazo fixado pelo(a) Pregoeiro(a), o sistema eletrônico encaminhará aviso de fechamento iminente dos lances, após o que transcorrerá período de tempo de até 30 (trinta) minutos, aleatoriamente determinado pelo sistema, findo o qual será automaticamente encerrada a fase de lances.</w:t>
      </w:r>
    </w:p>
    <w:p>
      <w:pPr>
        <w:pStyle w:val="Header"/>
        <w:widowControl w:val="false"/>
        <w:tabs>
          <w:tab w:val="left" w:pos="426" w:leader="none"/>
          <w:tab w:val="center" w:pos="4252" w:leader="none"/>
          <w:tab w:val="right" w:pos="8504" w:leader="none"/>
        </w:tabs>
        <w:spacing w:lineRule="auto" w:line="276"/>
        <w:rPr>
          <w:b/>
          <w:szCs w:val="24"/>
        </w:rPr>
      </w:pPr>
      <w:r>
        <w:rPr>
          <w:b/>
          <w:szCs w:val="24"/>
        </w:rPr>
      </w:r>
    </w:p>
    <w:p>
      <w:pPr>
        <w:pStyle w:val="Heading1"/>
        <w:keepNext w:val="false"/>
        <w:widowControl w:val="false"/>
        <w:shd w:val="clear" w:color="auto" w:fill="FF0000"/>
        <w:tabs>
          <w:tab w:val="clear" w:pos="708"/>
          <w:tab w:val="left" w:pos="567" w:leader="none"/>
        </w:tabs>
        <w:spacing w:lineRule="auto" w:line="276"/>
        <w:jc w:val="both"/>
        <w:rPr/>
      </w:pPr>
      <w:r>
        <w:rPr/>
        <w:t>SEÇÃO VIII – DO BENEFÍCIO ÀS MICROEMPRESAS E EMPRESAS DE PEQUENO PORTE</w:t>
      </w:r>
    </w:p>
    <w:p>
      <w:pPr>
        <w:pStyle w:val="Header"/>
        <w:widowControl w:val="false"/>
        <w:numPr>
          <w:ilvl w:val="0"/>
          <w:numId w:val="9"/>
        </w:numPr>
        <w:tabs>
          <w:tab w:val="clear" w:pos="4252"/>
          <w:tab w:val="clear" w:pos="8504"/>
        </w:tabs>
        <w:spacing w:lineRule="auto" w:line="276"/>
        <w:ind w:hanging="0" w:left="0"/>
        <w:jc w:val="both"/>
        <w:rPr>
          <w:sz w:val="24"/>
          <w:szCs w:val="24"/>
        </w:rPr>
      </w:pPr>
      <w:r>
        <w:rPr>
          <w:sz w:val="24"/>
          <w:szCs w:val="24"/>
        </w:rPr>
        <w:t xml:space="preserve">Após a fase de lances, se a proposta mais bem classificada não tiver sido apresentada por microempresa ou empresa de pequeno porte, e houver proposta de microempresa ou empresa de pequeno porte que seja igual ou até 5% (cinco por cento) superior à proposta mais bem classificada, proceder-se-á da seguinte forma: </w:t>
      </w:r>
    </w:p>
    <w:p>
      <w:pPr>
        <w:pStyle w:val="Header"/>
        <w:widowControl w:val="false"/>
        <w:numPr>
          <w:ilvl w:val="1"/>
          <w:numId w:val="10"/>
        </w:numPr>
        <w:tabs>
          <w:tab w:val="clear" w:pos="4252"/>
          <w:tab w:val="clear" w:pos="8504"/>
          <w:tab w:val="left" w:pos="709" w:leader="none"/>
        </w:tabs>
        <w:spacing w:lineRule="auto" w:line="276"/>
        <w:ind w:hanging="0" w:left="0"/>
        <w:jc w:val="both"/>
        <w:rPr>
          <w:sz w:val="24"/>
          <w:szCs w:val="24"/>
        </w:rPr>
      </w:pPr>
      <w:r>
        <w:rPr>
          <w:sz w:val="24"/>
          <w:szCs w:val="24"/>
        </w:rPr>
        <w:t xml:space="preserve">A microempresa ou a empresa de pequeno porte mais bem classificada poderá, no prazo de 5 (cinco) minutos, contados do envio da mensagem automática pelo sistema, apresentar uma última oferta, obrigatoriamente inferior à proposta do primeiro colocado, situação em que, atendidas as exigências habilitatórias e observado o valor estimado para a contratação, será adjudicado em seu favor o objeto deste </w:t>
      </w:r>
      <w:r>
        <w:rPr>
          <w:b/>
          <w:sz w:val="24"/>
          <w:szCs w:val="24"/>
        </w:rPr>
        <w:t>Pregão</w:t>
      </w:r>
      <w:r>
        <w:rPr>
          <w:sz w:val="24"/>
          <w:szCs w:val="24"/>
        </w:rPr>
        <w:t xml:space="preserve">; </w:t>
      </w:r>
    </w:p>
    <w:p>
      <w:pPr>
        <w:pStyle w:val="Normal"/>
        <w:widowControl w:val="false"/>
        <w:numPr>
          <w:ilvl w:val="2"/>
          <w:numId w:val="10"/>
        </w:numPr>
        <w:tabs>
          <w:tab w:val="clear" w:pos="708"/>
          <w:tab w:val="left" w:pos="709" w:leader="none"/>
          <w:tab w:val="left" w:pos="3556" w:leader="none"/>
        </w:tabs>
        <w:spacing w:lineRule="auto" w:line="276"/>
        <w:ind w:hanging="0" w:left="0"/>
        <w:jc w:val="both"/>
        <w:rPr>
          <w:sz w:val="24"/>
          <w:szCs w:val="24"/>
        </w:rPr>
      </w:pPr>
      <w:r>
        <w:rPr>
          <w:sz w:val="24"/>
          <w:szCs w:val="24"/>
        </w:rPr>
        <w:t xml:space="preserve">Caso a </w:t>
      </w:r>
      <w:r>
        <w:rPr>
          <w:b/>
          <w:sz w:val="24"/>
          <w:szCs w:val="24"/>
        </w:rPr>
        <w:t>licitante</w:t>
      </w:r>
      <w:r>
        <w:rPr>
          <w:sz w:val="24"/>
          <w:szCs w:val="24"/>
        </w:rPr>
        <w:t xml:space="preserve"> tenha utilizado a prerrogativa de efetuar oferta de desempate, conforme art. 44, da Lei Complementar nº 123/2006, será verificado no Portal da Transparência do Governo Federal, no endereço eletrônico </w:t>
      </w:r>
      <w:hyperlink r:id="rId7">
        <w:r>
          <w:rPr>
            <w:rStyle w:val="Hyperlink"/>
            <w:sz w:val="24"/>
            <w:szCs w:val="24"/>
          </w:rPr>
          <w:t>http://www.portaldatransparencia.gov.br</w:t>
        </w:r>
      </w:hyperlink>
      <w:r>
        <w:rPr>
          <w:sz w:val="24"/>
          <w:szCs w:val="24"/>
        </w:rPr>
        <w:t>,</w:t>
      </w:r>
      <w:r>
        <w:rPr>
          <w:rStyle w:val="Hyperlink"/>
          <w:sz w:val="24"/>
          <w:szCs w:val="24"/>
        </w:rPr>
        <w:t xml:space="preserve"> </w:t>
      </w:r>
      <w:r>
        <w:rPr>
          <w:sz w:val="24"/>
          <w:szCs w:val="24"/>
        </w:rPr>
        <w:t xml:space="preserve">se o somatório de ordens bancárias recebidas pela </w:t>
      </w:r>
      <w:r>
        <w:rPr>
          <w:b/>
          <w:sz w:val="24"/>
          <w:szCs w:val="24"/>
        </w:rPr>
        <w:t>licitante</w:t>
      </w:r>
      <w:r>
        <w:rPr>
          <w:sz w:val="24"/>
          <w:szCs w:val="24"/>
        </w:rPr>
        <w:t xml:space="preserve">, relativas ao último exercício e ao exercício corrente, até o mês anterior ao da data da licitação, fixada no preâmbulo deste Edital, já seria suficiente para extrapolar o faturamento máximo permitido como condição para esse benefício, conforme art. 3º da mencionada Lei Complementar. </w:t>
      </w:r>
    </w:p>
    <w:p>
      <w:pPr>
        <w:pStyle w:val="Header"/>
        <w:widowControl w:val="false"/>
        <w:numPr>
          <w:ilvl w:val="1"/>
          <w:numId w:val="10"/>
        </w:numPr>
        <w:tabs>
          <w:tab w:val="clear" w:pos="4252"/>
          <w:tab w:val="clear" w:pos="8504"/>
          <w:tab w:val="left" w:pos="567" w:leader="none"/>
        </w:tabs>
        <w:spacing w:lineRule="auto" w:line="276"/>
        <w:ind w:hanging="0" w:left="0"/>
        <w:jc w:val="both"/>
        <w:rPr>
          <w:sz w:val="24"/>
          <w:szCs w:val="24"/>
        </w:rPr>
      </w:pPr>
      <w:r>
        <w:rPr>
          <w:sz w:val="24"/>
          <w:szCs w:val="24"/>
        </w:rPr>
        <w:t xml:space="preserve">Não sendo vencedora a microempresa ou a empresa de pequeno porte mais bem classificada, na forma da subcondição anterior, o sistema, de forma automática, convocará as </w:t>
      </w:r>
      <w:r>
        <w:rPr>
          <w:b/>
          <w:sz w:val="24"/>
          <w:szCs w:val="24"/>
        </w:rPr>
        <w:t>licitantes</w:t>
      </w:r>
      <w:r>
        <w:rPr>
          <w:sz w:val="24"/>
          <w:szCs w:val="24"/>
        </w:rPr>
        <w:t xml:space="preserve"> remanescentes que porventura se enquadrem na situação descrita nesta condição, na ordem classificatória, para o exercício do mesmo direito; </w:t>
      </w:r>
    </w:p>
    <w:p>
      <w:pPr>
        <w:pStyle w:val="Header"/>
        <w:widowControl w:val="false"/>
        <w:numPr>
          <w:ilvl w:val="1"/>
          <w:numId w:val="10"/>
        </w:numPr>
        <w:tabs>
          <w:tab w:val="clear" w:pos="4252"/>
          <w:tab w:val="clear" w:pos="8504"/>
          <w:tab w:val="left" w:pos="567" w:leader="none"/>
        </w:tabs>
        <w:spacing w:lineRule="auto" w:line="276"/>
        <w:ind w:hanging="0" w:left="0"/>
        <w:jc w:val="both"/>
        <w:rPr>
          <w:sz w:val="24"/>
          <w:szCs w:val="24"/>
        </w:rPr>
      </w:pPr>
      <w:r>
        <w:rPr>
          <w:sz w:val="24"/>
          <w:szCs w:val="24"/>
        </w:rPr>
        <w:t xml:space="preserve">No caso de equivalência dos valores apresentados pelas microempresas ou empresas de pequeno porte que se encontrem no intervalo estabelecido nesta condição, o sistema fará um sorteio eletrônico, definindo e convocando automaticamente a vencedora para o encaminhamento da oferta final do desempate; </w:t>
      </w:r>
    </w:p>
    <w:p>
      <w:pPr>
        <w:pStyle w:val="Header"/>
        <w:widowControl w:val="false"/>
        <w:numPr>
          <w:ilvl w:val="1"/>
          <w:numId w:val="10"/>
        </w:numPr>
        <w:tabs>
          <w:tab w:val="clear" w:pos="4252"/>
          <w:tab w:val="clear" w:pos="8504"/>
          <w:tab w:val="left" w:pos="567" w:leader="none"/>
        </w:tabs>
        <w:spacing w:lineRule="auto" w:line="276"/>
        <w:ind w:hanging="0" w:left="0"/>
        <w:jc w:val="both"/>
        <w:rPr>
          <w:sz w:val="24"/>
          <w:szCs w:val="24"/>
        </w:rPr>
      </w:pPr>
      <w:r>
        <w:rPr>
          <w:sz w:val="24"/>
          <w:szCs w:val="24"/>
        </w:rPr>
        <w:t>A convocada que não apresentar proposta dentro do prazo de 5 (cinco) minutos, controlados pelo Sistema, decairá do direito previsto nos artigos 44 e 45 da Lei Complementar n.º 123/2006;</w:t>
      </w:r>
    </w:p>
    <w:p>
      <w:pPr>
        <w:pStyle w:val="Header"/>
        <w:widowControl w:val="false"/>
        <w:numPr>
          <w:ilvl w:val="1"/>
          <w:numId w:val="10"/>
        </w:numPr>
        <w:tabs>
          <w:tab w:val="clear" w:pos="4252"/>
          <w:tab w:val="clear" w:pos="8504"/>
          <w:tab w:val="left" w:pos="567" w:leader="none"/>
        </w:tabs>
        <w:spacing w:lineRule="auto" w:line="276"/>
        <w:ind w:hanging="0" w:left="0"/>
        <w:jc w:val="both"/>
        <w:rPr>
          <w:sz w:val="24"/>
          <w:szCs w:val="24"/>
        </w:rPr>
      </w:pPr>
      <w:r>
        <w:rPr>
          <w:sz w:val="24"/>
          <w:szCs w:val="24"/>
        </w:rPr>
        <w:t xml:space="preserve">Na hipótese de não contratação nos termos previstos nesta Seção, o procedimento licitatório prossegue com as demais </w:t>
      </w:r>
      <w:r>
        <w:rPr>
          <w:b/>
          <w:sz w:val="24"/>
          <w:szCs w:val="24"/>
        </w:rPr>
        <w:t>licitantes</w:t>
      </w:r>
      <w:r>
        <w:rPr>
          <w:sz w:val="24"/>
          <w:szCs w:val="24"/>
        </w:rPr>
        <w:t>.</w:t>
      </w:r>
    </w:p>
    <w:p>
      <w:pPr>
        <w:pStyle w:val="Heading1"/>
        <w:keepNext w:val="false"/>
        <w:widowControl w:val="false"/>
        <w:tabs>
          <w:tab w:val="clear" w:pos="708"/>
          <w:tab w:val="left" w:pos="1134" w:leader="none"/>
        </w:tabs>
        <w:spacing w:lineRule="auto" w:line="276"/>
        <w:jc w:val="both"/>
        <w:rPr/>
      </w:pPr>
      <w:r>
        <w:rPr/>
      </w:r>
    </w:p>
    <w:p>
      <w:pPr>
        <w:pStyle w:val="Heading1"/>
        <w:keepNext w:val="false"/>
        <w:widowControl w:val="false"/>
        <w:shd w:val="clear" w:color="auto" w:fill="FF0000"/>
        <w:tabs>
          <w:tab w:val="clear" w:pos="708"/>
          <w:tab w:val="left" w:pos="426" w:leader="none"/>
        </w:tabs>
        <w:spacing w:lineRule="auto" w:line="276"/>
        <w:jc w:val="both"/>
        <w:rPr/>
      </w:pPr>
      <w:r>
        <w:rPr/>
        <w:t>SEÇÃO IX – DA NEGOCIAÇÃO</w:t>
      </w:r>
    </w:p>
    <w:p>
      <w:pPr>
        <w:pStyle w:val="Normal"/>
        <w:widowControl w:val="false"/>
        <w:numPr>
          <w:ilvl w:val="0"/>
          <w:numId w:val="10"/>
        </w:numPr>
        <w:tabs>
          <w:tab w:val="clear" w:pos="708"/>
          <w:tab w:val="left" w:pos="426" w:leader="none"/>
        </w:tabs>
        <w:spacing w:lineRule="auto" w:line="276"/>
        <w:ind w:hanging="0" w:left="0"/>
        <w:jc w:val="both"/>
        <w:rPr>
          <w:sz w:val="24"/>
          <w:szCs w:val="24"/>
        </w:rPr>
      </w:pPr>
      <w:r>
        <w:rPr>
          <w:sz w:val="24"/>
          <w:szCs w:val="24"/>
        </w:rPr>
        <w:t xml:space="preserve">O(a) Pregoeiro(a) poderá encaminhar contraproposta diretamente à </w:t>
      </w:r>
      <w:r>
        <w:rPr>
          <w:b/>
          <w:sz w:val="24"/>
          <w:szCs w:val="24"/>
        </w:rPr>
        <w:t>licitante</w:t>
      </w:r>
      <w:r>
        <w:rPr>
          <w:sz w:val="24"/>
          <w:szCs w:val="24"/>
        </w:rPr>
        <w:t xml:space="preserve"> que tenha apresentado o lance mais vantajoso, observado o critério de julgamento e o valor estimado para a contratação.</w:t>
      </w:r>
    </w:p>
    <w:p>
      <w:pPr>
        <w:pStyle w:val="Header"/>
        <w:widowControl w:val="false"/>
        <w:numPr>
          <w:ilvl w:val="1"/>
          <w:numId w:val="10"/>
        </w:numPr>
        <w:tabs>
          <w:tab w:val="clear" w:pos="4252"/>
          <w:tab w:val="clear" w:pos="8504"/>
          <w:tab w:val="left" w:pos="426" w:leader="none"/>
        </w:tabs>
        <w:spacing w:lineRule="auto" w:line="276"/>
        <w:ind w:hanging="0" w:left="0"/>
        <w:jc w:val="both"/>
        <w:rPr>
          <w:sz w:val="24"/>
          <w:szCs w:val="24"/>
        </w:rPr>
      </w:pPr>
      <w:r>
        <w:rPr>
          <w:sz w:val="24"/>
          <w:szCs w:val="24"/>
        </w:rPr>
        <w:t xml:space="preserve">A negociação será realizada por meio do sistema, podendo ser acompanhada pelas demais </w:t>
      </w:r>
      <w:r>
        <w:rPr>
          <w:b/>
          <w:sz w:val="24"/>
          <w:szCs w:val="24"/>
        </w:rPr>
        <w:t>licitantes</w:t>
      </w:r>
      <w:r>
        <w:rPr>
          <w:sz w:val="24"/>
          <w:szCs w:val="24"/>
        </w:rPr>
        <w:t>.</w:t>
      </w:r>
    </w:p>
    <w:p>
      <w:pPr>
        <w:pStyle w:val="Heading1"/>
        <w:keepNext w:val="false"/>
        <w:widowControl w:val="false"/>
        <w:tabs>
          <w:tab w:val="clear" w:pos="708"/>
          <w:tab w:val="left" w:pos="1134" w:leader="none"/>
        </w:tabs>
        <w:spacing w:lineRule="auto" w:line="276"/>
        <w:jc w:val="both"/>
        <w:rPr/>
      </w:pPr>
      <w:r>
        <w:rPr/>
      </w:r>
    </w:p>
    <w:p>
      <w:pPr>
        <w:pStyle w:val="Heading1"/>
        <w:keepNext w:val="false"/>
        <w:widowControl w:val="false"/>
        <w:shd w:val="clear" w:color="auto" w:fill="FF0000"/>
        <w:tabs>
          <w:tab w:val="clear" w:pos="708"/>
          <w:tab w:val="left" w:pos="1134" w:leader="none"/>
        </w:tabs>
        <w:spacing w:lineRule="auto" w:line="276"/>
        <w:jc w:val="both"/>
        <w:rPr/>
      </w:pPr>
      <w:r>
        <w:rPr/>
        <w:t>SEÇÃO X – DA ACEITABILIDADE DA PROPOSTA</w:t>
      </w:r>
    </w:p>
    <w:p>
      <w:pPr>
        <w:pStyle w:val="Header"/>
        <w:widowControl w:val="false"/>
        <w:numPr>
          <w:ilvl w:val="0"/>
          <w:numId w:val="10"/>
        </w:numPr>
        <w:tabs>
          <w:tab w:val="clear" w:pos="4252"/>
          <w:tab w:val="clear" w:pos="8504"/>
        </w:tabs>
        <w:spacing w:lineRule="auto" w:line="276"/>
        <w:ind w:hanging="0" w:left="0"/>
        <w:jc w:val="both"/>
        <w:rPr>
          <w:sz w:val="24"/>
          <w:szCs w:val="24"/>
        </w:rPr>
      </w:pPr>
      <w:r>
        <w:rPr>
          <w:sz w:val="24"/>
          <w:szCs w:val="24"/>
        </w:rPr>
        <w:t xml:space="preserve">A </w:t>
      </w:r>
      <w:r>
        <w:rPr>
          <w:b/>
          <w:sz w:val="24"/>
          <w:szCs w:val="24"/>
        </w:rPr>
        <w:t>licitante classificada provisoriamente em primeiro lugar</w:t>
      </w:r>
      <w:r>
        <w:rPr>
          <w:sz w:val="24"/>
          <w:szCs w:val="24"/>
        </w:rPr>
        <w:t xml:space="preserve"> deverá encaminhar a proposta de preço adequada ao último lance, devidamente preenchida na forma do Anexo II – Modelo de Proposta de Preços, em arquivo único, em campo próprio no sítio </w:t>
      </w:r>
      <w:hyperlink r:id="rId8">
        <w:r>
          <w:rPr>
            <w:rStyle w:val="Hyperlink"/>
            <w:sz w:val="24"/>
            <w:szCs w:val="24"/>
          </w:rPr>
          <w:t>http://www.comprasnet.gov.br</w:t>
        </w:r>
      </w:hyperlink>
      <w:r>
        <w:rPr>
          <w:sz w:val="24"/>
          <w:szCs w:val="24"/>
        </w:rPr>
        <w:t>/ em até uma 02 (duas) horas após a sua classificação.</w:t>
      </w:r>
    </w:p>
    <w:p>
      <w:pPr>
        <w:pStyle w:val="Header"/>
        <w:widowControl w:val="false"/>
        <w:numPr>
          <w:ilvl w:val="1"/>
          <w:numId w:val="10"/>
        </w:numPr>
        <w:tabs>
          <w:tab w:val="clear" w:pos="4252"/>
          <w:tab w:val="clear" w:pos="8504"/>
          <w:tab w:val="left" w:pos="709" w:leader="none"/>
        </w:tabs>
        <w:spacing w:lineRule="auto" w:line="276"/>
        <w:ind w:hanging="0" w:left="0"/>
        <w:jc w:val="both"/>
        <w:rPr>
          <w:sz w:val="24"/>
          <w:szCs w:val="24"/>
        </w:rPr>
      </w:pPr>
      <w:r>
        <w:rPr>
          <w:sz w:val="24"/>
          <w:szCs w:val="24"/>
        </w:rPr>
        <w:t xml:space="preserve">A </w:t>
      </w:r>
      <w:r>
        <w:rPr>
          <w:b/>
          <w:sz w:val="24"/>
          <w:szCs w:val="24"/>
        </w:rPr>
        <w:t>licitante</w:t>
      </w:r>
      <w:r>
        <w:rPr>
          <w:sz w:val="24"/>
          <w:szCs w:val="24"/>
        </w:rPr>
        <w:t xml:space="preserve"> que abandonar o certame, deixando de enviar a documentação indicada nesta seção, será desclassificada e sujeitar-se-á às sanções previstas neste Edital.</w:t>
      </w:r>
    </w:p>
    <w:p>
      <w:pPr>
        <w:pStyle w:val="Header"/>
        <w:widowControl w:val="false"/>
        <w:numPr>
          <w:ilvl w:val="0"/>
          <w:numId w:val="11"/>
        </w:numPr>
        <w:tabs>
          <w:tab w:val="clear" w:pos="4252"/>
          <w:tab w:val="clear" w:pos="8504"/>
        </w:tabs>
        <w:spacing w:lineRule="auto" w:line="276"/>
        <w:ind w:hanging="0" w:left="0"/>
        <w:jc w:val="both"/>
        <w:rPr>
          <w:sz w:val="24"/>
          <w:szCs w:val="24"/>
        </w:rPr>
      </w:pPr>
      <w:r>
        <w:rPr>
          <w:sz w:val="24"/>
          <w:szCs w:val="24"/>
        </w:rPr>
        <w:t>O(a) Pregoeiro(a) examinará a proposta mais bem classificada quanto à compatibilidade do preço ofertado com o valor estimado e à compatibilidade da proposta com as especificações técnicas do objeto.</w:t>
      </w:r>
    </w:p>
    <w:p>
      <w:pPr>
        <w:pStyle w:val="Header"/>
        <w:widowControl w:val="false"/>
        <w:numPr>
          <w:ilvl w:val="1"/>
          <w:numId w:val="12"/>
        </w:numPr>
        <w:tabs>
          <w:tab w:val="clear" w:pos="4252"/>
          <w:tab w:val="clear" w:pos="8504"/>
          <w:tab w:val="left" w:pos="709" w:leader="none"/>
        </w:tabs>
        <w:spacing w:lineRule="auto" w:line="276"/>
        <w:ind w:hanging="0" w:left="0"/>
        <w:jc w:val="both"/>
        <w:rPr>
          <w:sz w:val="24"/>
          <w:szCs w:val="24"/>
        </w:rPr>
      </w:pPr>
      <w:r>
        <w:rPr>
          <w:sz w:val="24"/>
          <w:szCs w:val="24"/>
        </w:rPr>
        <w:t>O(a) Pregoeiro(a) poderá solicitar parecer de técnicos pertencentes ao quadro de pessoal CROMT ou, ainda, de pessoas físicas ou jurídicas estranhas a ele, para orientar sua decisão.</w:t>
      </w:r>
    </w:p>
    <w:p>
      <w:pPr>
        <w:pStyle w:val="Header"/>
        <w:widowControl w:val="false"/>
        <w:numPr>
          <w:ilvl w:val="1"/>
          <w:numId w:val="12"/>
        </w:numPr>
        <w:tabs>
          <w:tab w:val="clear" w:pos="4252"/>
          <w:tab w:val="clear" w:pos="8504"/>
          <w:tab w:val="left" w:pos="709" w:leader="none"/>
        </w:tabs>
        <w:spacing w:lineRule="auto" w:line="276"/>
        <w:ind w:hanging="0" w:left="0"/>
        <w:jc w:val="both"/>
        <w:rPr>
          <w:sz w:val="24"/>
          <w:szCs w:val="24"/>
        </w:rPr>
      </w:pPr>
      <w:r>
        <w:rPr>
          <w:sz w:val="24"/>
          <w:szCs w:val="24"/>
        </w:rPr>
        <w:t>Não se considerará qualquer oferta de vantagem não prevista neste Edital, inclusive financiamentos subsidiados ou a fundo perdido.</w:t>
      </w:r>
    </w:p>
    <w:p>
      <w:pPr>
        <w:pStyle w:val="Header"/>
        <w:widowControl w:val="false"/>
        <w:numPr>
          <w:ilvl w:val="1"/>
          <w:numId w:val="12"/>
        </w:numPr>
        <w:tabs>
          <w:tab w:val="clear" w:pos="4252"/>
          <w:tab w:val="clear" w:pos="8504"/>
          <w:tab w:val="left" w:pos="709" w:leader="none"/>
        </w:tabs>
        <w:spacing w:lineRule="auto" w:line="276"/>
        <w:ind w:hanging="0" w:left="0"/>
        <w:jc w:val="both"/>
        <w:rPr>
          <w:sz w:val="24"/>
          <w:szCs w:val="24"/>
        </w:rPr>
      </w:pPr>
      <w:r>
        <w:rPr>
          <w:sz w:val="24"/>
          <w:szCs w:val="24"/>
        </w:rPr>
        <w:t xml:space="preserve">Não se admitirá proposta que apresente valores simbólicos, irrisórios ou de valor zero, incompatíveis com os preços de mercado, exceto quando se referirem a materiais e instalações de propriedade da </w:t>
      </w:r>
      <w:r>
        <w:rPr>
          <w:b/>
          <w:sz w:val="24"/>
          <w:szCs w:val="24"/>
        </w:rPr>
        <w:t>licitante</w:t>
      </w:r>
      <w:r>
        <w:rPr>
          <w:sz w:val="24"/>
          <w:szCs w:val="24"/>
        </w:rPr>
        <w:t>, para os quais ela renuncie à parcela ou à totalidade de remuneração.</w:t>
      </w:r>
    </w:p>
    <w:p>
      <w:pPr>
        <w:pStyle w:val="Header"/>
        <w:widowControl w:val="false"/>
        <w:numPr>
          <w:ilvl w:val="1"/>
          <w:numId w:val="12"/>
        </w:numPr>
        <w:tabs>
          <w:tab w:val="clear" w:pos="4252"/>
          <w:tab w:val="clear" w:pos="8504"/>
          <w:tab w:val="left" w:pos="709" w:leader="none"/>
        </w:tabs>
        <w:spacing w:lineRule="auto" w:line="276"/>
        <w:ind w:hanging="0" w:left="0"/>
        <w:jc w:val="both"/>
        <w:rPr>
          <w:sz w:val="24"/>
          <w:szCs w:val="24"/>
        </w:rPr>
      </w:pPr>
      <w:r>
        <w:rPr>
          <w:sz w:val="24"/>
          <w:szCs w:val="24"/>
        </w:rPr>
        <w:t xml:space="preserve">O(a) Pregoeiro(a) poderá fixar prazo a </w:t>
      </w:r>
      <w:r>
        <w:rPr>
          <w:b/>
          <w:sz w:val="24"/>
          <w:szCs w:val="24"/>
        </w:rPr>
        <w:t>licitante classificada provisoriamente em primeiro lugar</w:t>
      </w:r>
      <w:r>
        <w:rPr>
          <w:sz w:val="24"/>
          <w:szCs w:val="24"/>
        </w:rPr>
        <w:t xml:space="preserve"> para o reenvio (uma única vez) do anexo contendo a planilha de composição de preços quando o preço total ofertado for aceitável, mas os preços unitários que compõem necessitem de ajustes aos valores estimados pelo CROMT.</w:t>
      </w:r>
    </w:p>
    <w:p>
      <w:pPr>
        <w:pStyle w:val="Header"/>
        <w:widowControl w:val="false"/>
        <w:numPr>
          <w:ilvl w:val="2"/>
          <w:numId w:val="12"/>
        </w:numPr>
        <w:tabs>
          <w:tab w:val="clear" w:pos="4252"/>
          <w:tab w:val="clear" w:pos="8504"/>
          <w:tab w:val="left" w:pos="709" w:leader="none"/>
          <w:tab w:val="left" w:pos="851" w:leader="none"/>
        </w:tabs>
        <w:spacing w:lineRule="auto" w:line="276"/>
        <w:ind w:hanging="0" w:left="0"/>
        <w:jc w:val="both"/>
        <w:rPr>
          <w:sz w:val="24"/>
          <w:szCs w:val="24"/>
        </w:rPr>
      </w:pPr>
      <w:r>
        <w:rPr>
          <w:sz w:val="24"/>
          <w:szCs w:val="24"/>
        </w:rPr>
        <w:t xml:space="preserve">O ajuste da proposta não poderá implicar aumento do seu valor global. </w:t>
      </w:r>
    </w:p>
    <w:p>
      <w:pPr>
        <w:pStyle w:val="Header"/>
        <w:widowControl w:val="false"/>
        <w:numPr>
          <w:ilvl w:val="1"/>
          <w:numId w:val="12"/>
        </w:numPr>
        <w:tabs>
          <w:tab w:val="clear" w:pos="4252"/>
          <w:tab w:val="clear" w:pos="8504"/>
          <w:tab w:val="left" w:pos="709" w:leader="none"/>
          <w:tab w:val="left" w:pos="851" w:leader="none"/>
        </w:tabs>
        <w:spacing w:lineRule="auto" w:line="276"/>
        <w:ind w:hanging="0" w:left="0"/>
        <w:jc w:val="both"/>
        <w:rPr>
          <w:sz w:val="24"/>
          <w:szCs w:val="24"/>
        </w:rPr>
      </w:pPr>
      <w:r>
        <w:rPr>
          <w:sz w:val="24"/>
          <w:szCs w:val="24"/>
        </w:rPr>
        <w:t>Não serão aceitas propostas com valor global superior ao estimado, ou com preços manifestamente inexequíveis.</w:t>
      </w:r>
    </w:p>
    <w:p>
      <w:pPr>
        <w:pStyle w:val="Normal"/>
        <w:widowControl w:val="false"/>
        <w:numPr>
          <w:ilvl w:val="2"/>
          <w:numId w:val="12"/>
        </w:numPr>
        <w:tabs>
          <w:tab w:val="clear" w:pos="708"/>
          <w:tab w:val="left" w:pos="709" w:leader="none"/>
          <w:tab w:val="left" w:pos="851" w:leader="none"/>
          <w:tab w:val="left" w:pos="3556" w:leader="none"/>
        </w:tabs>
        <w:spacing w:lineRule="auto" w:line="276"/>
        <w:ind w:hanging="0" w:left="0"/>
        <w:jc w:val="both"/>
        <w:rPr>
          <w:sz w:val="24"/>
          <w:szCs w:val="24"/>
        </w:rPr>
      </w:pPr>
      <w:r>
        <w:rPr>
          <w:sz w:val="24"/>
          <w:szCs w:val="24"/>
        </w:rPr>
        <w:t xml:space="preserve">Considerar-se-á inexequível a proposta que não venha a ter demonstrada sua viabilidade por meio de documentação que comprove que os custos envolvidos na contratação são coerentes com os de mercado do objeto deste </w:t>
      </w:r>
      <w:r>
        <w:rPr>
          <w:b/>
          <w:sz w:val="24"/>
          <w:szCs w:val="24"/>
        </w:rPr>
        <w:t>Pregão</w:t>
      </w:r>
      <w:r>
        <w:rPr>
          <w:sz w:val="24"/>
          <w:szCs w:val="24"/>
        </w:rPr>
        <w:t xml:space="preserve">. </w:t>
      </w:r>
    </w:p>
    <w:p>
      <w:pPr>
        <w:pStyle w:val="Normal"/>
        <w:widowControl w:val="false"/>
        <w:numPr>
          <w:ilvl w:val="2"/>
          <w:numId w:val="12"/>
        </w:numPr>
        <w:tabs>
          <w:tab w:val="clear" w:pos="708"/>
          <w:tab w:val="left" w:pos="709" w:leader="none"/>
          <w:tab w:val="left" w:pos="851" w:leader="none"/>
          <w:tab w:val="left" w:pos="3556" w:leader="none"/>
        </w:tabs>
        <w:spacing w:lineRule="auto" w:line="276"/>
        <w:ind w:hanging="0" w:left="0"/>
        <w:jc w:val="both"/>
        <w:rPr>
          <w:sz w:val="24"/>
          <w:szCs w:val="24"/>
        </w:rPr>
      </w:pPr>
      <w:r>
        <w:rPr>
          <w:sz w:val="24"/>
          <w:szCs w:val="24"/>
        </w:rPr>
        <w:t>Se houver indícios de proposta com valor inexequível, poderá realizar diligências para aferir a exequibilidade das propostas ou para efeito de comprovação de sua exequibilidade, podendo-se adotar, dentre procedimentos conforme § 2º do art. 59 da Lei nº 14.133/21.</w:t>
      </w:r>
    </w:p>
    <w:p>
      <w:pPr>
        <w:pStyle w:val="Heading1"/>
        <w:keepNext w:val="false"/>
        <w:widowControl w:val="false"/>
        <w:tabs>
          <w:tab w:val="clear" w:pos="708"/>
          <w:tab w:val="left" w:pos="1134" w:leader="none"/>
        </w:tabs>
        <w:spacing w:lineRule="auto" w:line="276"/>
        <w:ind w:hanging="851" w:left="1985"/>
        <w:jc w:val="both"/>
        <w:rPr/>
      </w:pPr>
      <w:r>
        <w:rPr/>
      </w:r>
    </w:p>
    <w:p>
      <w:pPr>
        <w:pStyle w:val="Heading1"/>
        <w:keepNext w:val="false"/>
        <w:widowControl w:val="false"/>
        <w:shd w:val="clear" w:color="auto" w:fill="FF0000"/>
        <w:tabs>
          <w:tab w:val="clear" w:pos="708"/>
          <w:tab w:val="left" w:pos="1134" w:leader="none"/>
        </w:tabs>
        <w:spacing w:lineRule="auto" w:line="276"/>
        <w:jc w:val="both"/>
        <w:rPr/>
      </w:pPr>
      <w:r>
        <w:rPr/>
        <w:t xml:space="preserve">SEÇÃO XI – DA HABILITAÇÃO </w:t>
      </w:r>
    </w:p>
    <w:p>
      <w:pPr>
        <w:pStyle w:val="Header"/>
        <w:widowControl w:val="false"/>
        <w:tabs>
          <w:tab w:val="left" w:pos="567" w:leader="none"/>
          <w:tab w:val="center" w:pos="4252" w:leader="none"/>
          <w:tab w:val="right" w:pos="8504" w:leader="none"/>
        </w:tabs>
        <w:spacing w:lineRule="auto" w:line="276"/>
        <w:jc w:val="both"/>
        <w:rPr>
          <w:sz w:val="24"/>
          <w:szCs w:val="24"/>
        </w:rPr>
      </w:pPr>
      <w:r>
        <w:rPr>
          <w:b/>
          <w:szCs w:val="24"/>
        </w:rPr>
        <w:t>11.1</w:t>
        <w:tab/>
        <w:tab/>
      </w:r>
      <w:r>
        <w:rPr>
          <w:sz w:val="24"/>
          <w:szCs w:val="24"/>
        </w:rPr>
        <w:t xml:space="preserve">A licitante deverá, </w:t>
      </w:r>
      <w:r>
        <w:rPr>
          <w:b/>
          <w:sz w:val="24"/>
          <w:szCs w:val="24"/>
          <w:u w:val="single"/>
        </w:rPr>
        <w:t>obrigatoriamente</w:t>
      </w:r>
      <w:r>
        <w:rPr>
          <w:sz w:val="24"/>
          <w:szCs w:val="24"/>
        </w:rPr>
        <w:t xml:space="preserve">, até o prazo estipulado para encerramento do recebimento das propostas, conforme data e horário que constam no preâmbulo deste Edital, anexar os documentos solicitados para habilitação, por meio da opção “Documentos Processuais” no sistema </w:t>
      </w:r>
      <w:hyperlink r:id="rId9">
        <w:r>
          <w:rPr>
            <w:rStyle w:val="Hyperlink"/>
            <w:sz w:val="24"/>
            <w:szCs w:val="24"/>
          </w:rPr>
          <w:t>http://www.comprasnet.gov.br</w:t>
        </w:r>
      </w:hyperlink>
      <w:r>
        <w:rPr>
          <w:rStyle w:val="Hyperlink"/>
        </w:rPr>
        <w:t>/</w:t>
      </w:r>
      <w:r>
        <w:rPr>
          <w:sz w:val="24"/>
          <w:szCs w:val="24"/>
        </w:rPr>
        <w:t>.</w:t>
      </w:r>
    </w:p>
    <w:p>
      <w:pPr>
        <w:pStyle w:val="Normal"/>
        <w:widowControl w:val="false"/>
        <w:spacing w:lineRule="auto" w:line="276"/>
        <w:jc w:val="both"/>
        <w:rPr>
          <w:b/>
          <w:sz w:val="24"/>
          <w:szCs w:val="24"/>
        </w:rPr>
      </w:pPr>
      <w:r>
        <w:rPr>
          <w:b/>
          <w:sz w:val="24"/>
          <w:szCs w:val="24"/>
        </w:rPr>
        <w:t>11.7. Documentos Relativos à Habilitação Jurídica:</w:t>
      </w:r>
    </w:p>
    <w:p>
      <w:pPr>
        <w:pStyle w:val="Normal"/>
        <w:widowControl w:val="false"/>
        <w:spacing w:lineRule="auto" w:line="276"/>
        <w:jc w:val="both"/>
        <w:rPr>
          <w:sz w:val="24"/>
          <w:szCs w:val="24"/>
        </w:rPr>
      </w:pPr>
      <w:bookmarkStart w:id="0" w:name="_Hlk140146149"/>
      <w:r>
        <w:rPr>
          <w:sz w:val="24"/>
          <w:szCs w:val="24"/>
        </w:rPr>
        <w:t xml:space="preserve">a) cédula de Identidade, quando se tratar de empresa individual; </w:t>
      </w:r>
    </w:p>
    <w:p>
      <w:pPr>
        <w:pStyle w:val="Normal"/>
        <w:widowControl w:val="false"/>
        <w:spacing w:lineRule="auto" w:line="276"/>
        <w:jc w:val="both"/>
        <w:rPr>
          <w:sz w:val="24"/>
          <w:szCs w:val="24"/>
        </w:rPr>
      </w:pPr>
      <w:r>
        <w:rPr>
          <w:sz w:val="24"/>
          <w:szCs w:val="24"/>
        </w:rPr>
        <w:t xml:space="preserve">b) registro comercial, no caso de empresa individual; </w:t>
      </w:r>
    </w:p>
    <w:p>
      <w:pPr>
        <w:pStyle w:val="Normal"/>
        <w:widowControl w:val="false"/>
        <w:spacing w:lineRule="auto" w:line="276"/>
        <w:jc w:val="both"/>
        <w:rPr>
          <w:sz w:val="24"/>
          <w:szCs w:val="24"/>
        </w:rPr>
      </w:pPr>
      <w:r>
        <w:rPr>
          <w:sz w:val="24"/>
          <w:szCs w:val="24"/>
        </w:rPr>
        <w:t>c) ato constitutivo, estatuto ou contrato social em vigor devidamente registrado, em se tratando de sociedades comerciais e, no caso de sociedades por ações, acompanhado de documentos de eleição de seus administradores;</w:t>
      </w:r>
    </w:p>
    <w:p>
      <w:pPr>
        <w:pStyle w:val="Normal"/>
        <w:widowControl w:val="false"/>
        <w:spacing w:lineRule="auto" w:line="276"/>
        <w:jc w:val="both"/>
        <w:rPr>
          <w:sz w:val="24"/>
          <w:szCs w:val="24"/>
        </w:rPr>
      </w:pPr>
      <w:r>
        <w:rPr>
          <w:sz w:val="24"/>
          <w:szCs w:val="24"/>
        </w:rPr>
        <w:t>c.1) os documentos em apreço deverão estar acompanhados de todas as alterações ou da consolidação respectiva;</w:t>
      </w:r>
    </w:p>
    <w:p>
      <w:pPr>
        <w:pStyle w:val="Normal"/>
        <w:widowControl w:val="false"/>
        <w:spacing w:lineRule="auto" w:line="276"/>
        <w:jc w:val="both"/>
        <w:rPr>
          <w:sz w:val="24"/>
          <w:szCs w:val="24"/>
        </w:rPr>
      </w:pPr>
      <w:r>
        <w:rPr>
          <w:sz w:val="24"/>
          <w:szCs w:val="24"/>
        </w:rPr>
        <w:t>d) inscrição do ato constitutivo, no caso de sociedades civis, acompanhada de prova de diretoria em exercício;</w:t>
      </w:r>
    </w:p>
    <w:p>
      <w:pPr>
        <w:pStyle w:val="Normal"/>
        <w:widowControl w:val="false"/>
        <w:spacing w:lineRule="auto" w:line="276"/>
        <w:jc w:val="both"/>
        <w:rPr>
          <w:sz w:val="24"/>
          <w:szCs w:val="24"/>
        </w:rPr>
      </w:pPr>
      <w:r>
        <w:rPr>
          <w:sz w:val="24"/>
          <w:szCs w:val="24"/>
        </w:rPr>
        <w:t>e) decreto de autorização, em se tratando de empresa ou sociedade estrangeira, em funcionamento no País, e ato de registro ou autorização para funcionamento expedido pelo Órgão competente, quando a atividade assim o exigir;</w:t>
      </w:r>
    </w:p>
    <w:p>
      <w:pPr>
        <w:pStyle w:val="Normal"/>
        <w:widowControl w:val="false"/>
        <w:spacing w:lineRule="auto" w:line="276"/>
        <w:jc w:val="both"/>
        <w:rPr>
          <w:sz w:val="24"/>
          <w:szCs w:val="24"/>
        </w:rPr>
      </w:pPr>
      <w:r>
        <w:rPr>
          <w:sz w:val="24"/>
          <w:szCs w:val="24"/>
        </w:rPr>
        <w:t xml:space="preserve">f) </w:t>
      </w:r>
      <w:r>
        <w:rPr>
          <w:b/>
          <w:sz w:val="24"/>
          <w:szCs w:val="24"/>
        </w:rPr>
        <w:t>Alvará</w:t>
      </w:r>
      <w:r>
        <w:rPr>
          <w:sz w:val="24"/>
          <w:szCs w:val="24"/>
        </w:rPr>
        <w:t xml:space="preserve"> de Localização e Funcionamento.</w:t>
      </w:r>
      <w:bookmarkEnd w:id="0"/>
    </w:p>
    <w:p>
      <w:pPr>
        <w:pStyle w:val="Normal"/>
        <w:widowControl w:val="false"/>
        <w:spacing w:lineRule="auto" w:line="276"/>
        <w:jc w:val="both"/>
        <w:rPr>
          <w:b/>
          <w:sz w:val="24"/>
          <w:szCs w:val="24"/>
        </w:rPr>
      </w:pPr>
      <w:r>
        <w:rPr>
          <w:b/>
          <w:sz w:val="24"/>
          <w:szCs w:val="24"/>
        </w:rPr>
        <w:t>11.8. A documentação relativa à Regularidade Fiscal e Trabalhista:</w:t>
      </w:r>
    </w:p>
    <w:p>
      <w:pPr>
        <w:pStyle w:val="Normal"/>
        <w:widowControl w:val="false"/>
        <w:spacing w:lineRule="auto" w:line="276"/>
        <w:jc w:val="both"/>
        <w:rPr>
          <w:sz w:val="24"/>
          <w:szCs w:val="24"/>
        </w:rPr>
      </w:pPr>
      <w:r>
        <w:rPr>
          <w:sz w:val="24"/>
          <w:szCs w:val="24"/>
        </w:rPr>
        <w:t xml:space="preserve"> </w:t>
      </w:r>
      <w:r>
        <w:rPr>
          <w:sz w:val="24"/>
          <w:szCs w:val="24"/>
        </w:rPr>
        <w:t>Consistirá na apresentação dos seguintes documentos:</w:t>
      </w:r>
    </w:p>
    <w:p>
      <w:pPr>
        <w:pStyle w:val="Normal"/>
        <w:widowControl w:val="false"/>
        <w:spacing w:lineRule="auto" w:line="276"/>
        <w:jc w:val="both"/>
        <w:rPr>
          <w:sz w:val="24"/>
          <w:szCs w:val="24"/>
        </w:rPr>
      </w:pPr>
      <w:r>
        <w:rPr>
          <w:sz w:val="24"/>
          <w:szCs w:val="24"/>
        </w:rPr>
        <w:t xml:space="preserve">a) Prova de inscrição no Cadastro Nacional de Pessoas Jurídicas </w:t>
      </w:r>
      <w:r>
        <w:rPr>
          <w:b/>
          <w:sz w:val="24"/>
          <w:szCs w:val="24"/>
        </w:rPr>
        <w:t>(CNPJ);</w:t>
      </w:r>
    </w:p>
    <w:p>
      <w:pPr>
        <w:pStyle w:val="Normal"/>
        <w:widowControl w:val="false"/>
        <w:spacing w:lineRule="auto" w:line="276"/>
        <w:jc w:val="both"/>
        <w:rPr>
          <w:sz w:val="24"/>
          <w:szCs w:val="24"/>
        </w:rPr>
      </w:pPr>
      <w:r>
        <w:rPr>
          <w:sz w:val="24"/>
          <w:szCs w:val="24"/>
        </w:rPr>
        <w:t xml:space="preserve">b) Prova de </w:t>
      </w:r>
      <w:r>
        <w:rPr>
          <w:b/>
          <w:sz w:val="24"/>
          <w:szCs w:val="24"/>
        </w:rPr>
        <w:t>inscrição</w:t>
      </w:r>
      <w:r>
        <w:rPr>
          <w:sz w:val="24"/>
          <w:szCs w:val="24"/>
        </w:rPr>
        <w:t xml:space="preserve"> no cadastro de contribuintes estadual ou municipal, se houver, relativo ao domicílio ou sede do licitante, pertinente ao seu ramo de atividade e compatível com o serviço contratual;</w:t>
      </w:r>
    </w:p>
    <w:p>
      <w:pPr>
        <w:pStyle w:val="Normal"/>
        <w:widowControl w:val="false"/>
        <w:spacing w:lineRule="auto" w:line="276"/>
        <w:jc w:val="both"/>
        <w:rPr>
          <w:sz w:val="24"/>
          <w:szCs w:val="24"/>
        </w:rPr>
      </w:pPr>
      <w:r>
        <w:rPr>
          <w:sz w:val="24"/>
          <w:szCs w:val="24"/>
        </w:rPr>
        <w:t xml:space="preserve">c) </w:t>
      </w:r>
      <w:r>
        <w:rPr>
          <w:b/>
          <w:sz w:val="24"/>
          <w:szCs w:val="24"/>
        </w:rPr>
        <w:t>Certidão Conjunta Negativa de Débitos</w:t>
      </w:r>
      <w:r>
        <w:rPr>
          <w:sz w:val="24"/>
          <w:szCs w:val="24"/>
        </w:rPr>
        <w:t xml:space="preserve"> relativos a Tributos Federais e à Dívida Ativa da União emitida pelo Ministério da Fazenda, Procuradoria-Geral da Fazenda Nacional e Secretaria da Receita Federal, devidamente válida;</w:t>
      </w:r>
    </w:p>
    <w:p>
      <w:pPr>
        <w:pStyle w:val="Normal"/>
        <w:widowControl w:val="false"/>
        <w:spacing w:lineRule="auto" w:line="276"/>
        <w:jc w:val="both"/>
        <w:rPr>
          <w:sz w:val="24"/>
          <w:szCs w:val="24"/>
        </w:rPr>
      </w:pPr>
      <w:r>
        <w:rPr>
          <w:sz w:val="24"/>
          <w:szCs w:val="24"/>
        </w:rPr>
        <w:t xml:space="preserve">d) Prova de </w:t>
      </w:r>
      <w:r>
        <w:rPr>
          <w:b/>
          <w:sz w:val="24"/>
          <w:szCs w:val="24"/>
        </w:rPr>
        <w:t>regularidade</w:t>
      </w:r>
      <w:r>
        <w:rPr>
          <w:sz w:val="24"/>
          <w:szCs w:val="24"/>
        </w:rPr>
        <w:t xml:space="preserve"> com as Fazendas </w:t>
      </w:r>
      <w:r>
        <w:rPr>
          <w:b/>
          <w:sz w:val="24"/>
          <w:szCs w:val="24"/>
        </w:rPr>
        <w:t>Municipal e Estadual</w:t>
      </w:r>
      <w:r>
        <w:rPr>
          <w:sz w:val="24"/>
          <w:szCs w:val="24"/>
        </w:rPr>
        <w:t>;</w:t>
      </w:r>
    </w:p>
    <w:p>
      <w:pPr>
        <w:pStyle w:val="Normal"/>
        <w:widowControl w:val="false"/>
        <w:spacing w:lineRule="auto" w:line="276"/>
        <w:jc w:val="both"/>
        <w:rPr>
          <w:sz w:val="24"/>
          <w:szCs w:val="24"/>
        </w:rPr>
      </w:pPr>
      <w:r>
        <w:rPr>
          <w:sz w:val="24"/>
          <w:szCs w:val="24"/>
        </w:rPr>
        <w:t>e) Poderão ser apresentadas as respectivas Certidões descritas nos itens c e d de forma consolidada, de acordo com a legislação do domicílio tributário do licitante.</w:t>
      </w:r>
    </w:p>
    <w:p>
      <w:pPr>
        <w:pStyle w:val="Normal"/>
        <w:widowControl w:val="false"/>
        <w:spacing w:lineRule="auto" w:line="276"/>
        <w:jc w:val="both"/>
        <w:rPr>
          <w:sz w:val="24"/>
          <w:szCs w:val="24"/>
        </w:rPr>
      </w:pPr>
      <w:r>
        <w:rPr>
          <w:sz w:val="24"/>
          <w:szCs w:val="24"/>
        </w:rPr>
        <w:t xml:space="preserve">f) Prova de Regularidade relativa a Seguridade Social – </w:t>
      </w:r>
      <w:r>
        <w:rPr>
          <w:b/>
          <w:sz w:val="24"/>
          <w:szCs w:val="24"/>
        </w:rPr>
        <w:t>INSS,</w:t>
      </w:r>
      <w:r>
        <w:rPr>
          <w:sz w:val="24"/>
          <w:szCs w:val="24"/>
        </w:rPr>
        <w:t xml:space="preserve"> demonstrando situação regular no cumprimento dos encargos sociais instituídos por Lei;</w:t>
      </w:r>
    </w:p>
    <w:p>
      <w:pPr>
        <w:pStyle w:val="Normal"/>
        <w:widowControl w:val="false"/>
        <w:spacing w:lineRule="auto" w:line="276"/>
        <w:jc w:val="both"/>
        <w:rPr>
          <w:sz w:val="24"/>
          <w:szCs w:val="24"/>
        </w:rPr>
      </w:pPr>
      <w:r>
        <w:rPr>
          <w:sz w:val="24"/>
          <w:szCs w:val="24"/>
        </w:rPr>
        <w:t xml:space="preserve">g) Prova de Regularidade relativa ao Fundo de Garantia por Tempo de Serviço </w:t>
      </w:r>
      <w:r>
        <w:rPr>
          <w:b/>
          <w:sz w:val="24"/>
          <w:szCs w:val="24"/>
        </w:rPr>
        <w:t>– FGTS</w:t>
      </w:r>
      <w:r>
        <w:rPr>
          <w:sz w:val="24"/>
          <w:szCs w:val="24"/>
        </w:rPr>
        <w:t xml:space="preserve"> – CRF, emitido pela Caixa Econômica Federal;</w:t>
      </w:r>
    </w:p>
    <w:p>
      <w:pPr>
        <w:pStyle w:val="Normal"/>
        <w:widowControl w:val="false"/>
        <w:tabs>
          <w:tab w:val="clear" w:pos="708"/>
          <w:tab w:val="left" w:pos="284" w:leader="none"/>
        </w:tabs>
        <w:spacing w:lineRule="auto" w:line="276"/>
        <w:jc w:val="both"/>
        <w:rPr>
          <w:sz w:val="24"/>
          <w:szCs w:val="24"/>
        </w:rPr>
      </w:pPr>
      <w:r>
        <w:rPr>
          <w:sz w:val="24"/>
          <w:szCs w:val="24"/>
        </w:rPr>
        <w:t>h)</w:t>
      </w:r>
      <w:r>
        <w:rPr>
          <w:b/>
          <w:sz w:val="24"/>
          <w:szCs w:val="24"/>
        </w:rPr>
        <w:t xml:space="preserve"> Certidão </w:t>
      </w:r>
      <w:r>
        <w:rPr>
          <w:sz w:val="24"/>
          <w:szCs w:val="24"/>
        </w:rPr>
        <w:t xml:space="preserve">Negativa de Débitos Trabalhistas, disponível nos portais na internet: </w:t>
      </w:r>
      <w:hyperlink r:id="rId10">
        <w:r>
          <w:rPr>
            <w:rStyle w:val="Hyperlink"/>
            <w:sz w:val="24"/>
            <w:szCs w:val="24"/>
          </w:rPr>
          <w:t>www.tst.gov.br/certidao</w:t>
        </w:r>
      </w:hyperlink>
      <w:r>
        <w:rPr>
          <w:sz w:val="24"/>
          <w:szCs w:val="24"/>
        </w:rPr>
        <w:t xml:space="preserve">, </w:t>
      </w:r>
      <w:hyperlink r:id="rId11">
        <w:r>
          <w:rPr>
            <w:rStyle w:val="Hyperlink"/>
            <w:sz w:val="24"/>
            <w:szCs w:val="24"/>
          </w:rPr>
          <w:t>www.tst.jus.br/certidao</w:t>
        </w:r>
      </w:hyperlink>
      <w:r>
        <w:rPr>
          <w:sz w:val="24"/>
          <w:szCs w:val="24"/>
        </w:rPr>
        <w:t>.</w:t>
      </w:r>
    </w:p>
    <w:p>
      <w:pPr>
        <w:pStyle w:val="Normal"/>
        <w:widowControl w:val="false"/>
        <w:spacing w:lineRule="auto" w:line="276"/>
        <w:jc w:val="both"/>
        <w:rPr>
          <w:sz w:val="24"/>
          <w:szCs w:val="24"/>
        </w:rPr>
      </w:pPr>
      <w:r>
        <w:rPr>
          <w:sz w:val="24"/>
          <w:szCs w:val="24"/>
        </w:rPr>
        <w:t xml:space="preserve">11.9. A prova de regularidade deverá ser feita por </w:t>
      </w:r>
      <w:r>
        <w:rPr>
          <w:b/>
          <w:sz w:val="24"/>
          <w:szCs w:val="24"/>
        </w:rPr>
        <w:t>Certidão Negativa</w:t>
      </w:r>
      <w:r>
        <w:rPr>
          <w:sz w:val="24"/>
          <w:szCs w:val="24"/>
        </w:rPr>
        <w:t xml:space="preserve"> ou Certidão Positiva com efeitos de Negativa;</w:t>
      </w:r>
    </w:p>
    <w:p>
      <w:pPr>
        <w:pStyle w:val="Normal"/>
        <w:widowControl w:val="false"/>
        <w:spacing w:lineRule="auto" w:line="276"/>
        <w:jc w:val="both"/>
        <w:rPr>
          <w:sz w:val="24"/>
          <w:szCs w:val="24"/>
        </w:rPr>
      </w:pPr>
      <w:bookmarkStart w:id="1" w:name="_Hlk140146404"/>
      <w:r>
        <w:rPr>
          <w:sz w:val="24"/>
          <w:szCs w:val="24"/>
        </w:rPr>
        <w:t>11.3.3.2.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bookmarkEnd w:id="1"/>
    </w:p>
    <w:p>
      <w:pPr>
        <w:pStyle w:val="Normal"/>
        <w:widowControl w:val="false"/>
        <w:spacing w:lineRule="auto" w:line="276"/>
        <w:jc w:val="both"/>
        <w:rPr>
          <w:b/>
          <w:sz w:val="24"/>
          <w:szCs w:val="24"/>
        </w:rPr>
      </w:pPr>
      <w:r>
        <w:rPr>
          <w:b/>
          <w:sz w:val="24"/>
          <w:szCs w:val="24"/>
        </w:rPr>
        <w:t>11.10. A documentação relativa à Qualificação Econômico-Financeira:</w:t>
      </w:r>
    </w:p>
    <w:p>
      <w:pPr>
        <w:pStyle w:val="Normal"/>
        <w:widowControl w:val="false"/>
        <w:spacing w:lineRule="auto" w:line="276"/>
        <w:jc w:val="both"/>
        <w:rPr>
          <w:sz w:val="24"/>
          <w:szCs w:val="24"/>
        </w:rPr>
      </w:pPr>
      <w:r>
        <w:rPr>
          <w:sz w:val="24"/>
          <w:szCs w:val="24"/>
        </w:rPr>
        <w:t>Consistirá na apresentação dos seguintes documentos:</w:t>
      </w:r>
    </w:p>
    <w:p>
      <w:pPr>
        <w:pStyle w:val="Normal"/>
        <w:widowControl w:val="false"/>
        <w:spacing w:lineRule="auto" w:line="276"/>
        <w:jc w:val="both"/>
        <w:rPr>
          <w:sz w:val="24"/>
          <w:szCs w:val="24"/>
        </w:rPr>
      </w:pPr>
      <w:r>
        <w:rPr>
          <w:b/>
          <w:sz w:val="24"/>
          <w:szCs w:val="24"/>
        </w:rPr>
        <w:t>a)</w:t>
      </w:r>
      <w:r>
        <w:rPr>
          <w:sz w:val="24"/>
          <w:szCs w:val="24"/>
        </w:rPr>
        <w:t xml:space="preserve"> </w:t>
      </w:r>
      <w:r>
        <w:rPr>
          <w:b/>
          <w:sz w:val="24"/>
          <w:szCs w:val="24"/>
        </w:rPr>
        <w:t>Balanço patrimonial</w:t>
      </w:r>
      <w:r>
        <w:rPr>
          <w:sz w:val="24"/>
          <w:szCs w:val="24"/>
        </w:rPr>
        <w:t xml:space="preserve"> e demonstrações contábeis do último exercício social, já exigíveis e apresentados na forma da lei, que comprovem a boa situação financeira da empresa, vedada a sua substituição por balancetes ou balanços provisórios, tomando como base a variação, ocorrida no período, do ÍNDICE GERAL DE PREÇOS - DISPONIBILIDADE INTERNA - IGP-DI, publicado pela Fundação Getúlio Vargas - FGV ou de outro indicador que o venha substituir, registrado na Junta Comercial; </w:t>
      </w:r>
    </w:p>
    <w:p>
      <w:pPr>
        <w:pStyle w:val="Normal"/>
        <w:widowControl w:val="false"/>
        <w:spacing w:lineRule="auto" w:line="276"/>
        <w:jc w:val="both"/>
        <w:rPr>
          <w:sz w:val="24"/>
          <w:szCs w:val="24"/>
        </w:rPr>
      </w:pPr>
      <w:r>
        <w:rPr>
          <w:sz w:val="24"/>
          <w:szCs w:val="24"/>
        </w:rPr>
        <w:t xml:space="preserve">Serão considerados aceitos como na forma da lei o balanço patrimonial e demonstrações contábeis assim apresentados: </w:t>
      </w:r>
    </w:p>
    <w:p>
      <w:pPr>
        <w:pStyle w:val="Normal"/>
        <w:widowControl w:val="false"/>
        <w:spacing w:lineRule="auto" w:line="276"/>
        <w:jc w:val="both"/>
        <w:rPr>
          <w:sz w:val="24"/>
          <w:szCs w:val="24"/>
        </w:rPr>
      </w:pPr>
      <w:r>
        <w:rPr>
          <w:b/>
          <w:sz w:val="24"/>
          <w:szCs w:val="24"/>
        </w:rPr>
        <w:t>1º)</w:t>
      </w:r>
      <w:r>
        <w:rPr>
          <w:sz w:val="24"/>
          <w:szCs w:val="24"/>
        </w:rPr>
        <w:t xml:space="preserve"> Sociedades regidas pela Lei n. 6.404/76 (sociedade anônima): </w:t>
      </w:r>
    </w:p>
    <w:p>
      <w:pPr>
        <w:pStyle w:val="Normal"/>
        <w:widowControl w:val="false"/>
        <w:spacing w:lineRule="auto" w:line="276"/>
        <w:jc w:val="both"/>
        <w:rPr>
          <w:sz w:val="24"/>
          <w:szCs w:val="24"/>
        </w:rPr>
      </w:pPr>
      <w:r>
        <w:rPr>
          <w:sz w:val="24"/>
          <w:szCs w:val="24"/>
        </w:rPr>
        <w:t xml:space="preserve"> </w:t>
      </w:r>
      <w:r>
        <w:rPr>
          <w:sz w:val="24"/>
          <w:szCs w:val="24"/>
        </w:rPr>
        <w:t xml:space="preserve">- publicados em Diário Oficial ou; </w:t>
      </w:r>
    </w:p>
    <w:p>
      <w:pPr>
        <w:pStyle w:val="Normal"/>
        <w:widowControl w:val="false"/>
        <w:spacing w:lineRule="auto" w:line="276"/>
        <w:jc w:val="both"/>
        <w:rPr>
          <w:sz w:val="24"/>
          <w:szCs w:val="24"/>
        </w:rPr>
      </w:pPr>
      <w:r>
        <w:rPr>
          <w:sz w:val="24"/>
          <w:szCs w:val="24"/>
        </w:rPr>
        <w:t xml:space="preserve"> </w:t>
      </w:r>
      <w:r>
        <w:rPr>
          <w:sz w:val="24"/>
          <w:szCs w:val="24"/>
        </w:rPr>
        <w:t xml:space="preserve">- publicados em jornal de grande circulação ou; </w:t>
      </w:r>
    </w:p>
    <w:p>
      <w:pPr>
        <w:pStyle w:val="Normal"/>
        <w:widowControl w:val="false"/>
        <w:spacing w:lineRule="auto" w:line="276"/>
        <w:jc w:val="both"/>
        <w:rPr>
          <w:sz w:val="24"/>
          <w:szCs w:val="24"/>
        </w:rPr>
      </w:pPr>
      <w:r>
        <w:rPr>
          <w:sz w:val="24"/>
          <w:szCs w:val="24"/>
        </w:rPr>
        <w:t xml:space="preserve"> </w:t>
      </w:r>
      <w:r>
        <w:rPr>
          <w:sz w:val="24"/>
          <w:szCs w:val="24"/>
        </w:rPr>
        <w:t xml:space="preserve">- por fotocópia registrada ou autenticada na Junta Comercial da sede ou domicílio da licitante. </w:t>
      </w:r>
    </w:p>
    <w:p>
      <w:pPr>
        <w:pStyle w:val="Normal"/>
        <w:widowControl w:val="false"/>
        <w:spacing w:lineRule="auto" w:line="276"/>
        <w:jc w:val="both"/>
        <w:rPr>
          <w:sz w:val="24"/>
          <w:szCs w:val="24"/>
        </w:rPr>
      </w:pPr>
      <w:r>
        <w:rPr>
          <w:b/>
          <w:sz w:val="24"/>
          <w:szCs w:val="24"/>
        </w:rPr>
        <w:t>2º)</w:t>
      </w:r>
      <w:r>
        <w:rPr>
          <w:sz w:val="24"/>
          <w:szCs w:val="24"/>
        </w:rPr>
        <w:t xml:space="preserve"> Sociedades por cota de responsabilidade limitada (LTDA)</w:t>
      </w:r>
    </w:p>
    <w:p>
      <w:pPr>
        <w:pStyle w:val="Normal"/>
        <w:widowControl w:val="false"/>
        <w:spacing w:lineRule="auto" w:line="276"/>
        <w:jc w:val="both"/>
        <w:rPr>
          <w:sz w:val="24"/>
          <w:szCs w:val="24"/>
        </w:rPr>
      </w:pPr>
      <w:r>
        <w:rPr>
          <w:sz w:val="24"/>
          <w:szCs w:val="24"/>
        </w:rPr>
        <w:t>- Acompanhados por fotocópia dos Termos de Abertura e de Encerramento do Livro Diário, devidamente autenticada na Junta Comercial da sede ou domicílio da licitante ou em outro órgão equivalente ou;</w:t>
      </w:r>
    </w:p>
    <w:p>
      <w:pPr>
        <w:pStyle w:val="Normal"/>
        <w:widowControl w:val="false"/>
        <w:spacing w:lineRule="auto" w:line="276"/>
        <w:jc w:val="both"/>
        <w:rPr>
          <w:sz w:val="24"/>
          <w:szCs w:val="24"/>
        </w:rPr>
      </w:pPr>
      <w:r>
        <w:rPr>
          <w:sz w:val="24"/>
          <w:szCs w:val="24"/>
        </w:rPr>
        <w:t>- Fotocópia do Balanço e das Demonstrações Contábeis devidamente registradas ou autenticadas na Junta Comercial da sede ou domicílio da licitante.</w:t>
      </w:r>
    </w:p>
    <w:p>
      <w:pPr>
        <w:pStyle w:val="Normal"/>
        <w:widowControl w:val="false"/>
        <w:spacing w:lineRule="auto" w:line="276"/>
        <w:jc w:val="both"/>
        <w:rPr>
          <w:sz w:val="24"/>
          <w:szCs w:val="24"/>
        </w:rPr>
      </w:pPr>
      <w:r>
        <w:rPr>
          <w:b/>
          <w:sz w:val="24"/>
          <w:szCs w:val="24"/>
        </w:rPr>
        <w:t>3º)</w:t>
      </w:r>
      <w:r>
        <w:rPr>
          <w:sz w:val="24"/>
          <w:szCs w:val="24"/>
        </w:rPr>
        <w:t xml:space="preserve"> Sociedade sujeita ao regime estabelecido na Lei Complementar nº 123/2006 – Estatuto da Microempresa e da Empresa de Pequeno Porte: </w:t>
      </w:r>
    </w:p>
    <w:p>
      <w:pPr>
        <w:pStyle w:val="Normal"/>
        <w:widowControl w:val="false"/>
        <w:spacing w:lineRule="auto" w:line="276"/>
        <w:jc w:val="both"/>
        <w:rPr>
          <w:sz w:val="24"/>
          <w:szCs w:val="24"/>
        </w:rPr>
      </w:pPr>
      <w:r>
        <w:rPr>
          <w:sz w:val="24"/>
          <w:szCs w:val="24"/>
        </w:rPr>
        <w:t xml:space="preserve">- Acompanhados por fotocópia dos Termos de Abertura e de Encerramento do livro Diário, devidamente autenticado na Junta Comercial da sede ou domicílio da licitante ou em outro órgão equivalente; </w:t>
      </w:r>
      <w:r>
        <w:rPr>
          <w:b/>
          <w:sz w:val="24"/>
          <w:szCs w:val="24"/>
        </w:rPr>
        <w:t>ou</w:t>
      </w:r>
      <w:r>
        <w:rPr>
          <w:sz w:val="24"/>
          <w:szCs w:val="24"/>
        </w:rPr>
        <w:t>;</w:t>
      </w:r>
    </w:p>
    <w:p>
      <w:pPr>
        <w:pStyle w:val="Normal"/>
        <w:widowControl w:val="false"/>
        <w:spacing w:lineRule="auto" w:line="276"/>
        <w:jc w:val="both"/>
        <w:rPr>
          <w:sz w:val="24"/>
          <w:szCs w:val="24"/>
        </w:rPr>
      </w:pPr>
      <w:r>
        <w:rPr>
          <w:sz w:val="24"/>
          <w:szCs w:val="24"/>
        </w:rPr>
        <w:t xml:space="preserve">- declaração simplificada do último imposto de renda. </w:t>
      </w:r>
    </w:p>
    <w:p>
      <w:pPr>
        <w:pStyle w:val="Normal"/>
        <w:widowControl w:val="false"/>
        <w:spacing w:lineRule="auto" w:line="276"/>
        <w:jc w:val="both"/>
        <w:rPr>
          <w:sz w:val="24"/>
          <w:szCs w:val="24"/>
        </w:rPr>
      </w:pPr>
      <w:r>
        <w:rPr>
          <w:b/>
          <w:sz w:val="24"/>
          <w:szCs w:val="24"/>
        </w:rPr>
        <w:t>4º)</w:t>
      </w:r>
      <w:r>
        <w:rPr>
          <w:sz w:val="24"/>
          <w:szCs w:val="24"/>
        </w:rPr>
        <w:t xml:space="preserve"> Sociedade criada no exercício em curso: </w:t>
      </w:r>
    </w:p>
    <w:p>
      <w:pPr>
        <w:pStyle w:val="Normal"/>
        <w:widowControl w:val="false"/>
        <w:spacing w:lineRule="auto" w:line="276"/>
        <w:jc w:val="both"/>
        <w:rPr>
          <w:sz w:val="24"/>
          <w:szCs w:val="24"/>
        </w:rPr>
      </w:pPr>
      <w:r>
        <w:rPr>
          <w:sz w:val="24"/>
          <w:szCs w:val="24"/>
        </w:rPr>
        <w:t xml:space="preserve"> </w:t>
      </w:r>
      <w:r>
        <w:rPr>
          <w:sz w:val="24"/>
          <w:szCs w:val="24"/>
        </w:rPr>
        <w:t xml:space="preserve">- Fotocópia do Balanço de Abertura, devidamente registrado ou autenticado na Junta Comercial da sede ou domicílio das licitantes nos casos de sociedades anônimas; </w:t>
      </w:r>
    </w:p>
    <w:p>
      <w:pPr>
        <w:pStyle w:val="Normal"/>
        <w:widowControl w:val="false"/>
        <w:spacing w:lineRule="auto" w:line="276"/>
        <w:jc w:val="both"/>
        <w:rPr>
          <w:sz w:val="24"/>
          <w:szCs w:val="24"/>
        </w:rPr>
      </w:pPr>
      <w:r>
        <w:rPr>
          <w:b/>
          <w:sz w:val="24"/>
          <w:szCs w:val="24"/>
        </w:rPr>
        <w:t>5º)</w:t>
      </w:r>
      <w:r>
        <w:rPr>
          <w:sz w:val="24"/>
          <w:szCs w:val="24"/>
        </w:rPr>
        <w:t xml:space="preserve"> o balanço patrimonial, as demonstrações contábeis e o balanço de abertura deverão estar assinados pelos administradores das empresas constantes do ato constitutivo, estatuto ou contrato social e por Contador legalmente habilitado. </w:t>
      </w:r>
    </w:p>
    <w:p>
      <w:pPr>
        <w:pStyle w:val="Normal"/>
        <w:widowControl w:val="false"/>
        <w:spacing w:lineRule="auto" w:line="276"/>
        <w:jc w:val="both"/>
        <w:rPr>
          <w:sz w:val="24"/>
          <w:szCs w:val="24"/>
        </w:rPr>
      </w:pPr>
      <w:r>
        <w:rPr>
          <w:b/>
          <w:sz w:val="24"/>
          <w:szCs w:val="24"/>
        </w:rPr>
        <w:t>6º) Todas as formas societárias deverão apresentar Certidão de Falência e Recuperação Judicial, emitida pelo Distribuidor da sede da pessoa jurídica, a menos de 120 (Cento e vinte) dias</w:t>
      </w:r>
    </w:p>
    <w:p>
      <w:pPr>
        <w:pStyle w:val="Normal"/>
        <w:widowControl w:val="false"/>
        <w:spacing w:lineRule="auto" w:line="276"/>
        <w:jc w:val="both"/>
        <w:rPr>
          <w:sz w:val="24"/>
          <w:szCs w:val="24"/>
          <w:shd w:fill="FFFFFF" w:val="clear"/>
        </w:rPr>
      </w:pPr>
      <w:r>
        <w:rPr>
          <w:b/>
          <w:sz w:val="24"/>
          <w:szCs w:val="24"/>
        </w:rPr>
        <w:t>7º)</w:t>
      </w:r>
      <w:r>
        <w:rPr>
          <w:sz w:val="24"/>
          <w:szCs w:val="24"/>
        </w:rPr>
        <w:t xml:space="preserve"> As </w:t>
      </w:r>
      <w:r>
        <w:rPr>
          <w:sz w:val="24"/>
          <w:szCs w:val="24"/>
          <w:shd w:fill="FFFFFF" w:val="clear"/>
        </w:rPr>
        <w:t>microempresas e empresas de pequeno porte optantes pelo Simples Nacional poderão, opcionalmente, adotar contabilidade simplificada para os registros e controles das operações realizadas, conforme regulamentação do Comitê Gestor. P</w:t>
      </w:r>
      <w:r>
        <w:rPr>
          <w:sz w:val="24"/>
          <w:szCs w:val="24"/>
        </w:rPr>
        <w:t xml:space="preserve">ara este caso o Balanço Patrimonial será substituído pela DEFIS/DASN ou até mesmo o SPED fiscal, conforme o </w:t>
      </w:r>
      <w:r>
        <w:rPr>
          <w:sz w:val="24"/>
          <w:szCs w:val="24"/>
          <w:shd w:fill="FFFFFF" w:val="clear"/>
        </w:rPr>
        <w:t>Artigo 27 da Lei Complementar LC 123/2006.</w:t>
      </w:r>
    </w:p>
    <w:p>
      <w:pPr>
        <w:pStyle w:val="Normal"/>
        <w:widowControl w:val="false"/>
        <w:spacing w:lineRule="auto" w:line="276"/>
        <w:jc w:val="both"/>
        <w:rPr>
          <w:sz w:val="24"/>
          <w:szCs w:val="24"/>
        </w:rPr>
      </w:pPr>
      <w:r>
        <w:rPr>
          <w:b/>
          <w:sz w:val="24"/>
          <w:szCs w:val="24"/>
        </w:rPr>
        <w:t>8º)</w:t>
      </w:r>
      <w:r>
        <w:rPr>
          <w:sz w:val="24"/>
          <w:szCs w:val="24"/>
        </w:rPr>
        <w:t xml:space="preserve"> Os tipos societários obrigados e/ou optantes pela Escrituração Contábil Digital – ECD, 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w:t>
      </w:r>
    </w:p>
    <w:p>
      <w:pPr>
        <w:pStyle w:val="Normal"/>
        <w:widowControl w:val="false"/>
        <w:spacing w:lineRule="auto" w:line="276"/>
        <w:jc w:val="both"/>
        <w:rPr>
          <w:sz w:val="24"/>
          <w:szCs w:val="24"/>
        </w:rPr>
      </w:pPr>
      <w:r>
        <w:rPr>
          <w:b/>
          <w:bCs/>
          <w:sz w:val="24"/>
          <w:szCs w:val="24"/>
        </w:rPr>
        <w:t xml:space="preserve">I. </w:t>
      </w:r>
      <w:r>
        <w:rPr>
          <w:sz w:val="24"/>
          <w:szCs w:val="24"/>
        </w:rPr>
        <w:t>Recibo de Entrega de Livro Digital transmitido através do Sistema Público de Escrituração Digital – Sped;</w:t>
      </w:r>
    </w:p>
    <w:p>
      <w:pPr>
        <w:pStyle w:val="Normal"/>
        <w:widowControl w:val="false"/>
        <w:spacing w:lineRule="auto" w:line="276"/>
        <w:jc w:val="both"/>
        <w:rPr>
          <w:sz w:val="24"/>
          <w:szCs w:val="24"/>
        </w:rPr>
      </w:pPr>
      <w:r>
        <w:rPr>
          <w:b/>
          <w:bCs/>
          <w:sz w:val="24"/>
          <w:szCs w:val="24"/>
        </w:rPr>
        <w:t xml:space="preserve">II. </w:t>
      </w:r>
      <w:r>
        <w:rPr>
          <w:sz w:val="24"/>
          <w:szCs w:val="24"/>
        </w:rPr>
        <w:t>Termos de Abertura e Encerramento do Livro Diário Digital extraídos do Sistema Público de Escrituração Digital – Sped;</w:t>
      </w:r>
    </w:p>
    <w:p>
      <w:pPr>
        <w:pStyle w:val="Normal"/>
        <w:widowControl w:val="false"/>
        <w:spacing w:lineRule="auto" w:line="276"/>
        <w:jc w:val="both"/>
        <w:rPr>
          <w:sz w:val="24"/>
          <w:szCs w:val="24"/>
        </w:rPr>
      </w:pPr>
      <w:r>
        <w:rPr>
          <w:b/>
          <w:bCs/>
          <w:sz w:val="24"/>
          <w:szCs w:val="24"/>
        </w:rPr>
        <w:t xml:space="preserve">III. </w:t>
      </w:r>
      <w:r>
        <w:rPr>
          <w:sz w:val="24"/>
          <w:szCs w:val="24"/>
        </w:rPr>
        <w:t>Balanço e Demonstração do Resultado do Exercício extraídos do Sistema Público de Escrituração Digital – Sped;</w:t>
      </w:r>
    </w:p>
    <w:p>
      <w:pPr>
        <w:pStyle w:val="Normal"/>
        <w:widowControl w:val="false"/>
        <w:spacing w:lineRule="auto" w:line="276"/>
        <w:jc w:val="both"/>
        <w:rPr>
          <w:sz w:val="24"/>
          <w:szCs w:val="24"/>
        </w:rPr>
      </w:pPr>
      <w:r>
        <w:rPr>
          <w:b/>
          <w:bCs/>
          <w:sz w:val="24"/>
          <w:szCs w:val="24"/>
        </w:rPr>
        <w:t>IV</w:t>
      </w:r>
      <w:r>
        <w:rPr>
          <w:sz w:val="24"/>
          <w:szCs w:val="24"/>
        </w:rPr>
        <w:t>. Requerimento de Autenticação de Livro Digital.</w:t>
      </w:r>
    </w:p>
    <w:p>
      <w:pPr>
        <w:pStyle w:val="Normal"/>
        <w:widowControl w:val="false"/>
        <w:spacing w:lineRule="auto" w:line="276"/>
        <w:jc w:val="both"/>
        <w:rPr>
          <w:b/>
          <w:bCs/>
          <w:sz w:val="24"/>
          <w:szCs w:val="24"/>
        </w:rPr>
      </w:pPr>
      <w:r>
        <w:rPr>
          <w:b/>
          <w:bCs/>
          <w:sz w:val="24"/>
          <w:szCs w:val="24"/>
        </w:rPr>
        <w:t xml:space="preserve">V. </w:t>
      </w:r>
      <w:r>
        <w:rPr>
          <w:sz w:val="24"/>
          <w:szCs w:val="24"/>
        </w:rPr>
        <w:t>Termo de Autenticação da Junta Comercial.</w:t>
      </w:r>
      <w:r>
        <w:rPr>
          <w:b/>
          <w:bCs/>
          <w:sz w:val="24"/>
          <w:szCs w:val="24"/>
        </w:rPr>
        <w:t xml:space="preserve"> </w:t>
      </w:r>
    </w:p>
    <w:p>
      <w:pPr>
        <w:pStyle w:val="Header"/>
        <w:widowControl w:val="false"/>
        <w:tabs>
          <w:tab w:val="left" w:pos="426" w:leader="none"/>
          <w:tab w:val="left" w:pos="567" w:leader="none"/>
          <w:tab w:val="left" w:pos="709" w:leader="none"/>
          <w:tab w:val="left" w:pos="851" w:leader="none"/>
          <w:tab w:val="center" w:pos="4252" w:leader="none"/>
          <w:tab w:val="right" w:pos="8504" w:leader="none"/>
        </w:tabs>
        <w:spacing w:lineRule="auto" w:line="276"/>
        <w:jc w:val="both"/>
        <w:rPr>
          <w:sz w:val="24"/>
          <w:szCs w:val="24"/>
        </w:rPr>
      </w:pPr>
      <w:r>
        <w:rPr>
          <w:b/>
          <w:sz w:val="24"/>
          <w:szCs w:val="24"/>
        </w:rPr>
        <w:t>11.11</w:t>
        <w:tab/>
        <w:tab/>
      </w:r>
      <w:r>
        <w:rPr>
          <w:sz w:val="24"/>
          <w:szCs w:val="24"/>
        </w:rPr>
        <w:t xml:space="preserve">O(a) Pregoeiro(a) poderá consultar sítios oficiais de órgãos e entidades emissores de certidões, para verificar as condições de habilitação das </w:t>
      </w:r>
      <w:r>
        <w:rPr>
          <w:b/>
          <w:sz w:val="24"/>
          <w:szCs w:val="24"/>
        </w:rPr>
        <w:t>licitantes</w:t>
      </w:r>
      <w:r>
        <w:rPr>
          <w:sz w:val="24"/>
          <w:szCs w:val="24"/>
        </w:rPr>
        <w:t>.</w:t>
      </w:r>
    </w:p>
    <w:p>
      <w:pPr>
        <w:pStyle w:val="Header"/>
        <w:widowControl w:val="false"/>
        <w:tabs>
          <w:tab w:val="left" w:pos="567" w:leader="none"/>
          <w:tab w:val="left" w:pos="709" w:leader="none"/>
          <w:tab w:val="left" w:pos="851" w:leader="none"/>
          <w:tab w:val="center" w:pos="4252" w:leader="none"/>
          <w:tab w:val="right" w:pos="8504" w:leader="none"/>
        </w:tabs>
        <w:spacing w:lineRule="auto" w:line="276"/>
        <w:jc w:val="both"/>
        <w:rPr>
          <w:sz w:val="24"/>
          <w:szCs w:val="24"/>
        </w:rPr>
      </w:pPr>
      <w:r>
        <w:rPr>
          <w:b/>
          <w:sz w:val="24"/>
          <w:szCs w:val="24"/>
        </w:rPr>
        <w:t>11.12</w:t>
        <w:tab/>
        <w:tab/>
      </w:r>
      <w:r>
        <w:rPr>
          <w:sz w:val="24"/>
          <w:szCs w:val="24"/>
        </w:rPr>
        <w:t xml:space="preserve">Os documentos remetidos por meio da opção “Documentos Processuais” no sistema </w:t>
      </w:r>
      <w:hyperlink r:id="rId12">
        <w:r>
          <w:rPr>
            <w:rStyle w:val="Hyperlink"/>
            <w:sz w:val="24"/>
            <w:szCs w:val="24"/>
          </w:rPr>
          <w:t>http://www.comprasnet.gov.br</w:t>
        </w:r>
        <w:r>
          <w:rPr>
            <w:rStyle w:val="Hyperlink"/>
          </w:rPr>
          <w:t>/</w:t>
        </w:r>
      </w:hyperlink>
      <w:r>
        <w:rPr>
          <w:rStyle w:val="Hyperlink"/>
        </w:rPr>
        <w:t xml:space="preserve"> </w:t>
      </w:r>
      <w:r>
        <w:rPr>
          <w:sz w:val="24"/>
          <w:szCs w:val="24"/>
        </w:rPr>
        <w:t>poderão ser solicitados em original ou por cópia autenticada a qualquer momento, em prazo a ser estabelecido pelo(a) Pregoeiro(a)</w:t>
      </w:r>
      <w:r>
        <w:rPr>
          <w:b/>
          <w:sz w:val="24"/>
          <w:szCs w:val="24"/>
        </w:rPr>
        <w:t>.</w:t>
      </w:r>
    </w:p>
    <w:p>
      <w:pPr>
        <w:pStyle w:val="Normal"/>
        <w:widowControl w:val="false"/>
        <w:spacing w:lineRule="auto" w:line="276"/>
        <w:jc w:val="both"/>
        <w:rPr>
          <w:sz w:val="24"/>
          <w:szCs w:val="24"/>
        </w:rPr>
      </w:pPr>
      <w:r>
        <w:rPr>
          <w:b/>
          <w:sz w:val="24"/>
          <w:szCs w:val="24"/>
        </w:rPr>
        <w:t>11.13</w:t>
      </w:r>
      <w:r>
        <w:rPr>
          <w:sz w:val="24"/>
          <w:szCs w:val="24"/>
        </w:rPr>
        <w:t>. Se a documentação de habilitação não estiver completa, estiver incorreta ou contrariar qualquer dispositivo deste Edital, deverá o(a) Pregoeiro(a) considerar a proponente inabilitada, salvo as situações que ensejarem a aplicação da LC 123/06.</w:t>
      </w:r>
    </w:p>
    <w:p>
      <w:pPr>
        <w:pStyle w:val="Normal"/>
        <w:widowControl w:val="false"/>
        <w:spacing w:lineRule="auto" w:line="276"/>
        <w:jc w:val="both"/>
        <w:rPr>
          <w:sz w:val="24"/>
          <w:szCs w:val="24"/>
        </w:rPr>
      </w:pPr>
      <w:r>
        <w:rPr>
          <w:b/>
          <w:sz w:val="24"/>
          <w:szCs w:val="24"/>
        </w:rPr>
        <w:t>11.14</w:t>
      </w:r>
      <w:r>
        <w:rPr>
          <w:sz w:val="24"/>
          <w:szCs w:val="24"/>
        </w:rPr>
        <w:t>. Sob pena de inabilitação, todos os documentos apresentados para habilitação deverão estar em nome da licitante e com número do CNPJ e endereço respectivo, observando-se que:</w:t>
      </w:r>
    </w:p>
    <w:p>
      <w:pPr>
        <w:pStyle w:val="Normal"/>
        <w:widowControl w:val="false"/>
        <w:spacing w:lineRule="auto" w:line="276"/>
        <w:jc w:val="both"/>
        <w:rPr>
          <w:sz w:val="24"/>
          <w:szCs w:val="24"/>
        </w:rPr>
      </w:pPr>
      <w:r>
        <w:rPr>
          <w:sz w:val="24"/>
          <w:szCs w:val="24"/>
        </w:rPr>
        <w:t>a) se a licitante for a matriz, todos os documentos deverão estar em nome da matriz; ou</w:t>
      </w:r>
    </w:p>
    <w:p>
      <w:pPr>
        <w:pStyle w:val="Normal"/>
        <w:widowControl w:val="false"/>
        <w:spacing w:lineRule="auto" w:line="276"/>
        <w:jc w:val="both"/>
        <w:rPr>
          <w:sz w:val="24"/>
          <w:szCs w:val="24"/>
        </w:rPr>
      </w:pPr>
      <w:r>
        <w:rPr>
          <w:sz w:val="24"/>
          <w:szCs w:val="24"/>
        </w:rPr>
        <w:t>b) se a licitante for a filial, todos os documentos deverão estar em nome da filial;</w:t>
      </w:r>
    </w:p>
    <w:p>
      <w:pPr>
        <w:pStyle w:val="Normal"/>
        <w:widowControl w:val="false"/>
        <w:spacing w:lineRule="auto" w:line="276"/>
        <w:jc w:val="both"/>
        <w:rPr>
          <w:sz w:val="24"/>
          <w:szCs w:val="24"/>
        </w:rPr>
      </w:pPr>
      <w:r>
        <w:rPr>
          <w:sz w:val="24"/>
          <w:szCs w:val="24"/>
        </w:rPr>
        <w:t>c) serão dispensados da filial aqueles documentos que, pela própria natureza, comprovadamente, forem emitidos somente em nome da matriz.</w:t>
      </w:r>
    </w:p>
    <w:p>
      <w:pPr>
        <w:pStyle w:val="Normal"/>
        <w:widowControl w:val="false"/>
        <w:spacing w:lineRule="auto" w:line="276"/>
        <w:jc w:val="both"/>
        <w:rPr>
          <w:sz w:val="24"/>
          <w:szCs w:val="24"/>
        </w:rPr>
      </w:pPr>
      <w:r>
        <w:rPr>
          <w:b/>
          <w:sz w:val="24"/>
          <w:szCs w:val="24"/>
        </w:rPr>
        <w:t>11.15</w:t>
      </w:r>
      <w:r>
        <w:rPr>
          <w:sz w:val="24"/>
          <w:szCs w:val="24"/>
        </w:rPr>
        <w:t>. Portanto não poderá concorrer a matriz em nome da filial e vice-versa, salvo se a documentação de habilitação de ambas esteja regular.</w:t>
      </w:r>
    </w:p>
    <w:p>
      <w:pPr>
        <w:pStyle w:val="Normal"/>
        <w:spacing w:lineRule="auto" w:line="276"/>
        <w:jc w:val="both"/>
        <w:rPr>
          <w:b/>
          <w:sz w:val="24"/>
          <w:szCs w:val="24"/>
          <w:lang w:val="pt-PT" w:bidi="pt-PT"/>
        </w:rPr>
      </w:pPr>
      <w:r>
        <w:rPr>
          <w:b/>
          <w:sz w:val="24"/>
          <w:szCs w:val="24"/>
          <w:lang w:val="pt-PT" w:bidi="pt-PT"/>
        </w:rPr>
        <w:t>11.16 Outras Documentações;</w:t>
      </w:r>
    </w:p>
    <w:p>
      <w:pPr>
        <w:pStyle w:val="ListParagraph"/>
        <w:shd w:val="clear" w:color="auto" w:fill="FFFFFF" w:themeFill="background1"/>
        <w:ind w:left="426" w:right="-1"/>
        <w:jc w:val="both"/>
        <w:rPr>
          <w:sz w:val="24"/>
          <w:szCs w:val="24"/>
        </w:rPr>
      </w:pPr>
      <w:r>
        <w:rPr>
          <w:sz w:val="24"/>
          <w:szCs w:val="24"/>
        </w:rPr>
        <w:t>a) SICAF;</w:t>
      </w:r>
    </w:p>
    <w:p>
      <w:pPr>
        <w:pStyle w:val="ListParagraph"/>
        <w:shd w:val="clear" w:color="auto" w:fill="FFFFFF" w:themeFill="background1"/>
        <w:ind w:left="426" w:right="-1"/>
        <w:jc w:val="both"/>
        <w:rPr>
          <w:sz w:val="24"/>
          <w:szCs w:val="24"/>
        </w:rPr>
      </w:pPr>
      <w:r>
        <w:rPr>
          <w:sz w:val="24"/>
          <w:szCs w:val="24"/>
        </w:rPr>
        <w:t>b) Cadastro Nacional de Empresas Inidôneas e Suspensas - CEIS, mantido pela Controladoria-Geral da União (</w:t>
      </w:r>
      <w:hyperlink r:id="rId13">
        <w:r>
          <w:rPr>
            <w:rStyle w:val="Hyperlink"/>
            <w:sz w:val="24"/>
            <w:szCs w:val="24"/>
          </w:rPr>
          <w:t>www.portaldatransparencia.gov.br/ceis</w:t>
        </w:r>
      </w:hyperlink>
      <w:r>
        <w:rPr>
          <w:sz w:val="24"/>
          <w:szCs w:val="24"/>
        </w:rPr>
        <w:t>);</w:t>
      </w:r>
    </w:p>
    <w:p>
      <w:pPr>
        <w:pStyle w:val="ListParagraph"/>
        <w:shd w:val="clear" w:color="auto" w:fill="FFFFFF" w:themeFill="background1"/>
        <w:ind w:left="426" w:right="-1"/>
        <w:jc w:val="both"/>
        <w:rPr>
          <w:sz w:val="24"/>
          <w:szCs w:val="24"/>
        </w:rPr>
      </w:pPr>
      <w:r>
        <w:rPr>
          <w:sz w:val="24"/>
          <w:szCs w:val="24"/>
        </w:rPr>
        <w:t>c) Cadastro Nacional de Condenações Cíveis por Atos de Improbidade Administrativa, mantido pelo Conselho Nacional de Justiça (</w:t>
      </w:r>
      <w:hyperlink r:id="rId14">
        <w:r>
          <w:rPr>
            <w:rStyle w:val="Hyperlink"/>
            <w:sz w:val="24"/>
            <w:szCs w:val="24"/>
          </w:rPr>
          <w:t>www.cnj.jus.br/improbidade_adm/consultar_requerido.php</w:t>
        </w:r>
      </w:hyperlink>
      <w:r>
        <w:rPr>
          <w:sz w:val="24"/>
          <w:szCs w:val="24"/>
        </w:rPr>
        <w:t>).</w:t>
      </w:r>
    </w:p>
    <w:p>
      <w:pPr>
        <w:pStyle w:val="ListParagraph"/>
        <w:shd w:val="clear" w:color="auto" w:fill="FFFFFF" w:themeFill="background1"/>
        <w:ind w:left="426" w:right="-1"/>
        <w:jc w:val="both"/>
        <w:rPr>
          <w:sz w:val="24"/>
          <w:szCs w:val="24"/>
        </w:rPr>
      </w:pPr>
      <w:r>
        <w:rPr>
          <w:sz w:val="24"/>
          <w:szCs w:val="24"/>
        </w:rPr>
        <w:t>d) Lista de Inidôneos mantida pelo Tribunal de Contas da União - TCU; 6.2.1. Para a consulta de fornecedores pessoa jurídica poderá haver a substituição das consultas das alíneas “b”, “c” e “d” acima pela Consulta Consolidada de Pessoa Jurídica do TCU (</w:t>
      </w:r>
      <w:hyperlink r:id="rId15">
        <w:r>
          <w:rPr>
            <w:rStyle w:val="Hyperlink"/>
            <w:sz w:val="24"/>
            <w:szCs w:val="24"/>
          </w:rPr>
          <w:t>https://certidoesapf.apps.tcu.gov.br/</w:t>
        </w:r>
      </w:hyperlink>
      <w:r>
        <w:rPr>
          <w:sz w:val="24"/>
          <w:szCs w:val="24"/>
        </w:rPr>
        <w:t>).</w:t>
      </w:r>
    </w:p>
    <w:p>
      <w:pPr>
        <w:pStyle w:val="ListParagraph"/>
        <w:shd w:val="clear" w:color="auto" w:fill="FFFFFF" w:themeFill="background1"/>
        <w:ind w:left="426" w:right="-1"/>
        <w:jc w:val="both"/>
        <w:rPr>
          <w:sz w:val="24"/>
          <w:szCs w:val="24"/>
        </w:rPr>
      </w:pPr>
      <w:r>
        <w:rPr>
          <w:sz w:val="24"/>
          <w:szCs w:val="24"/>
        </w:rPr>
        <w:t>e) A(s) empresa(s) licitante(s) deverá(ão) apresentar atestado(s) de capacidade técnica, pertinente e compatível(is) com o objeto desta licitação, podendo o(s) mesmo(s) ser(em) emitido(s) por pessoa(s) jurídica(s) de direito público ou privado caso o(s) atestado(s) seja(m) emitido(s) por pessoa(s) jurídica(s) de direito privado, deverá(ão) obrigatoriamente ser(em) apresentado(s) com firma reconhecida em cartório.</w:t>
      </w:r>
    </w:p>
    <w:p>
      <w:pPr>
        <w:pStyle w:val="Normal"/>
        <w:ind w:left="709"/>
        <w:jc w:val="both"/>
        <w:rPr>
          <w:sz w:val="24"/>
          <w:szCs w:val="24"/>
        </w:rPr>
      </w:pPr>
      <w:r>
        <w:rPr>
          <w:sz w:val="24"/>
          <w:szCs w:val="24"/>
        </w:rPr>
        <w:t>e.1) O(s) atestado(s) de capacidade técnica deverão se referir a serviços prestados no âmbito de sua atividade econômica principal ou secundária, especificada no contrato social registrado na junta comercial competente, bem como no cadastro de pessoas jurídicas da Receita Federal do Brasil – RFB.</w:t>
      </w:r>
    </w:p>
    <w:p>
      <w:pPr>
        <w:pStyle w:val="Normal"/>
        <w:ind w:left="709"/>
        <w:jc w:val="both"/>
        <w:rPr>
          <w:sz w:val="24"/>
          <w:szCs w:val="24"/>
        </w:rPr>
      </w:pPr>
      <w:r>
        <w:rPr>
          <w:sz w:val="24"/>
          <w:szCs w:val="24"/>
        </w:rPr>
        <w:t>e.2) Não serão aceitos atestados emitidos pela própria licitante.</w:t>
      </w:r>
    </w:p>
    <w:p>
      <w:pPr>
        <w:pStyle w:val="Normal"/>
        <w:ind w:left="709"/>
        <w:jc w:val="both"/>
        <w:rPr>
          <w:sz w:val="24"/>
          <w:szCs w:val="24"/>
        </w:rPr>
      </w:pPr>
      <w:r>
        <w:rPr>
          <w:sz w:val="24"/>
          <w:szCs w:val="24"/>
        </w:rPr>
        <w:t>e.3) No caso de atestado emitido por empresa da iniciativa privada, não será considerado aquele emitido por empresa pertencente ao mesmo grupo empresarial da empresa proponente.</w:t>
      </w:r>
    </w:p>
    <w:p>
      <w:pPr>
        <w:pStyle w:val="Normal"/>
        <w:ind w:left="709"/>
        <w:jc w:val="both"/>
        <w:rPr>
          <w:sz w:val="24"/>
          <w:szCs w:val="24"/>
        </w:rPr>
      </w:pPr>
      <w:r>
        <w:rPr>
          <w:sz w:val="24"/>
          <w:szCs w:val="24"/>
        </w:rPr>
        <w:t>e.4) Serão consideradas como pertencentes ao mesmo grupo empresarial, empresas controladas ou controladoras da empresa proponente ou que tenha pelo menos uma mesma pessoa física ou jurídica, proprietário ou titular da empresa emitente e da empresa proponente.</w:t>
      </w:r>
    </w:p>
    <w:p>
      <w:pPr>
        <w:pStyle w:val="Normal"/>
        <w:spacing w:lineRule="auto" w:line="276"/>
        <w:jc w:val="both"/>
        <w:rPr>
          <w:sz w:val="24"/>
          <w:szCs w:val="24"/>
        </w:rPr>
      </w:pPr>
      <w:r>
        <w:rPr>
          <w:sz w:val="24"/>
          <w:szCs w:val="24"/>
        </w:rPr>
      </w:r>
    </w:p>
    <w:p>
      <w:pPr>
        <w:pStyle w:val="Heading1"/>
        <w:keepNext w:val="false"/>
        <w:widowControl w:val="false"/>
        <w:shd w:val="clear" w:color="auto" w:fill="FF0000"/>
        <w:tabs>
          <w:tab w:val="clear" w:pos="708"/>
          <w:tab w:val="left" w:pos="567" w:leader="none"/>
          <w:tab w:val="left" w:pos="1134" w:leader="none"/>
        </w:tabs>
        <w:spacing w:lineRule="auto" w:line="276"/>
        <w:jc w:val="both"/>
        <w:rPr/>
      </w:pPr>
      <w:r>
        <w:rPr/>
        <w:t xml:space="preserve">SEÇÃO XII – DO RECURSO </w:t>
      </w:r>
    </w:p>
    <w:p>
      <w:pPr>
        <w:pStyle w:val="Header"/>
        <w:widowControl w:val="false"/>
        <w:tabs>
          <w:tab w:val="left" w:pos="567" w:leader="none"/>
          <w:tab w:val="center" w:pos="4252" w:leader="none"/>
          <w:tab w:val="right" w:pos="8504" w:leader="none"/>
        </w:tabs>
        <w:spacing w:lineRule="auto" w:line="276"/>
        <w:jc w:val="both"/>
        <w:rPr>
          <w:color w:val="FF0000"/>
          <w:szCs w:val="24"/>
        </w:rPr>
      </w:pPr>
      <w:r>
        <w:rPr>
          <w:b/>
          <w:szCs w:val="24"/>
        </w:rPr>
        <w:t>12.</w:t>
      </w:r>
      <w:r>
        <w:rPr>
          <w:b/>
          <w:sz w:val="24"/>
          <w:szCs w:val="32"/>
        </w:rPr>
        <w:t>1</w:t>
        <w:tab/>
        <w:tab/>
      </w:r>
      <w:r>
        <w:rPr>
          <w:sz w:val="24"/>
          <w:szCs w:val="32"/>
        </w:rPr>
        <w:t>Declarada a vencedora, o(a) P</w:t>
      </w:r>
      <w:r>
        <w:rPr>
          <w:color w:val="111111"/>
          <w:sz w:val="24"/>
          <w:szCs w:val="32"/>
        </w:rPr>
        <w:t xml:space="preserve">regoeiro(a) abrirá prazo de 10 (dez) minutos, durante o qual qualquer </w:t>
      </w:r>
      <w:r>
        <w:rPr>
          <w:b/>
          <w:color w:val="111111"/>
          <w:sz w:val="24"/>
          <w:szCs w:val="32"/>
        </w:rPr>
        <w:t>licitante</w:t>
      </w:r>
      <w:r>
        <w:rPr>
          <w:color w:val="111111"/>
          <w:sz w:val="24"/>
          <w:szCs w:val="32"/>
        </w:rPr>
        <w:t xml:space="preserve"> poderá, de forma imediata e motivada, em campo próprio do sistema, manifestar sua intenção de recurso.</w:t>
      </w:r>
    </w:p>
    <w:p>
      <w:pPr>
        <w:pStyle w:val="Normal"/>
        <w:widowControl w:val="false"/>
        <w:tabs>
          <w:tab w:val="clear" w:pos="708"/>
          <w:tab w:val="left" w:pos="567" w:leader="none"/>
        </w:tabs>
        <w:spacing w:lineRule="auto" w:line="276"/>
        <w:jc w:val="both"/>
        <w:rPr>
          <w:sz w:val="24"/>
          <w:szCs w:val="24"/>
        </w:rPr>
      </w:pPr>
      <w:r>
        <w:rPr>
          <w:b/>
          <w:sz w:val="24"/>
          <w:szCs w:val="24"/>
        </w:rPr>
        <w:t>12.2</w:t>
      </w:r>
      <w:r>
        <w:rPr>
          <w:sz w:val="24"/>
          <w:szCs w:val="24"/>
        </w:rPr>
        <w:t xml:space="preserve"> A falta de manifestação no prazo estabelecido autoriza o(a) Pregoeiro(a) a adjudicar o objeto à </w:t>
      </w:r>
      <w:r>
        <w:rPr>
          <w:b/>
          <w:sz w:val="24"/>
          <w:szCs w:val="24"/>
        </w:rPr>
        <w:t>licitante vencedora</w:t>
      </w:r>
      <w:r>
        <w:rPr>
          <w:sz w:val="24"/>
          <w:szCs w:val="24"/>
        </w:rPr>
        <w:t>.</w:t>
      </w:r>
    </w:p>
    <w:p>
      <w:pPr>
        <w:pStyle w:val="Normal"/>
        <w:widowControl w:val="false"/>
        <w:spacing w:lineRule="auto" w:line="276"/>
        <w:jc w:val="both"/>
        <w:rPr>
          <w:sz w:val="24"/>
          <w:szCs w:val="24"/>
        </w:rPr>
      </w:pPr>
      <w:r>
        <w:rPr>
          <w:b/>
          <w:sz w:val="24"/>
          <w:szCs w:val="24"/>
        </w:rPr>
        <w:t xml:space="preserve">12.3 </w:t>
      </w:r>
      <w:r>
        <w:rPr>
          <w:sz w:val="24"/>
          <w:szCs w:val="24"/>
        </w:rPr>
        <w:t>O(a) Pregoeiro(a) examinará a intenção de recurso, aceitando-a ou, motivadamente, rejeitando-a, em campo próprio do sistema.</w:t>
      </w:r>
    </w:p>
    <w:p>
      <w:pPr>
        <w:pStyle w:val="Normal"/>
        <w:widowControl w:val="false"/>
        <w:spacing w:lineRule="auto" w:line="276"/>
        <w:jc w:val="both"/>
        <w:rPr>
          <w:sz w:val="24"/>
          <w:szCs w:val="24"/>
        </w:rPr>
      </w:pPr>
      <w:r>
        <w:rPr>
          <w:b/>
          <w:sz w:val="24"/>
          <w:szCs w:val="24"/>
        </w:rPr>
        <w:t xml:space="preserve">12.4 </w:t>
      </w:r>
      <w:r>
        <w:rPr>
          <w:sz w:val="24"/>
          <w:szCs w:val="24"/>
        </w:rPr>
        <w:t xml:space="preserve">A </w:t>
      </w:r>
      <w:r>
        <w:rPr>
          <w:b/>
          <w:sz w:val="24"/>
          <w:szCs w:val="24"/>
        </w:rPr>
        <w:t>licitante</w:t>
      </w:r>
      <w:r>
        <w:rPr>
          <w:sz w:val="24"/>
          <w:szCs w:val="24"/>
        </w:rPr>
        <w:t xml:space="preserve"> que tiver sua intenção de recurso aceita deverá registrar as razões do recurso, em campo próprio do sistema, no prazo de 03 (três) dias, ficando as demais </w:t>
      </w:r>
      <w:r>
        <w:rPr>
          <w:b/>
          <w:sz w:val="24"/>
          <w:szCs w:val="24"/>
        </w:rPr>
        <w:t>licitantes</w:t>
      </w:r>
      <w:r>
        <w:rPr>
          <w:sz w:val="24"/>
          <w:szCs w:val="24"/>
        </w:rPr>
        <w:t>, desde logo, intimadas a apresentar contrarrazões, também via sistema, em igual prazo, que começará a correr do término do prazo da recorrente.</w:t>
      </w:r>
    </w:p>
    <w:p>
      <w:pPr>
        <w:pStyle w:val="Normal"/>
        <w:widowControl w:val="false"/>
        <w:tabs>
          <w:tab w:val="clear" w:pos="708"/>
          <w:tab w:val="left" w:pos="567" w:leader="none"/>
        </w:tabs>
        <w:spacing w:lineRule="auto" w:line="276"/>
        <w:jc w:val="both"/>
        <w:rPr>
          <w:sz w:val="24"/>
          <w:szCs w:val="24"/>
        </w:rPr>
      </w:pPr>
      <w:r>
        <w:rPr>
          <w:b/>
          <w:sz w:val="24"/>
          <w:szCs w:val="24"/>
        </w:rPr>
        <w:t xml:space="preserve">12.5 </w:t>
      </w:r>
      <w:r>
        <w:rPr>
          <w:sz w:val="24"/>
          <w:szCs w:val="24"/>
        </w:rPr>
        <w:t xml:space="preserve">Para efeito do disposto no § 5º do artigo 165 da Lei nº 14.133/21, fica à vista dos autos do </w:t>
      </w:r>
      <w:r>
        <w:rPr>
          <w:b/>
          <w:sz w:val="24"/>
          <w:szCs w:val="24"/>
        </w:rPr>
        <w:t>Pregão Eletrônico n° 0002/2024</w:t>
      </w:r>
      <w:r>
        <w:rPr>
          <w:sz w:val="24"/>
          <w:szCs w:val="24"/>
        </w:rPr>
        <w:t xml:space="preserve"> franqueada aos interessados. </w:t>
      </w:r>
    </w:p>
    <w:p>
      <w:pPr>
        <w:pStyle w:val="Normal"/>
        <w:widowControl w:val="false"/>
        <w:tabs>
          <w:tab w:val="clear" w:pos="708"/>
          <w:tab w:val="left" w:pos="567" w:leader="none"/>
        </w:tabs>
        <w:spacing w:lineRule="auto" w:line="276"/>
        <w:jc w:val="both"/>
        <w:rPr>
          <w:sz w:val="24"/>
          <w:szCs w:val="24"/>
        </w:rPr>
      </w:pPr>
      <w:r>
        <w:rPr>
          <w:b/>
          <w:sz w:val="24"/>
          <w:szCs w:val="24"/>
        </w:rPr>
        <w:t xml:space="preserve">12.6 </w:t>
      </w:r>
      <w:r>
        <w:rPr>
          <w:sz w:val="24"/>
          <w:szCs w:val="24"/>
        </w:rPr>
        <w:t>As intenções de recurso não admitidas e os recursos rejeitados pelo(a) Pregoeiro(a) serão apreciados pela autoridade competente.</w:t>
      </w:r>
    </w:p>
    <w:p>
      <w:pPr>
        <w:pStyle w:val="Normal"/>
        <w:widowControl w:val="false"/>
        <w:tabs>
          <w:tab w:val="clear" w:pos="708"/>
          <w:tab w:val="left" w:pos="567" w:leader="none"/>
        </w:tabs>
        <w:spacing w:lineRule="auto" w:line="276"/>
        <w:jc w:val="both"/>
        <w:rPr>
          <w:sz w:val="24"/>
          <w:szCs w:val="24"/>
        </w:rPr>
      </w:pPr>
      <w:r>
        <w:rPr>
          <w:b/>
          <w:sz w:val="24"/>
          <w:szCs w:val="24"/>
        </w:rPr>
        <w:t xml:space="preserve">12.7 </w:t>
      </w:r>
      <w:r>
        <w:rPr>
          <w:sz w:val="24"/>
          <w:szCs w:val="24"/>
        </w:rPr>
        <w:t>O acolhimento do recurso implicará a invalidação apenas dos atos insuscetíveis de aproveitamento.</w:t>
      </w:r>
    </w:p>
    <w:p>
      <w:pPr>
        <w:pStyle w:val="Normal"/>
        <w:widowControl w:val="false"/>
        <w:tabs>
          <w:tab w:val="clear" w:pos="708"/>
          <w:tab w:val="left" w:pos="567" w:leader="none"/>
        </w:tabs>
        <w:spacing w:lineRule="auto" w:line="276"/>
        <w:jc w:val="both"/>
        <w:rPr>
          <w:sz w:val="24"/>
          <w:szCs w:val="24"/>
        </w:rPr>
      </w:pPr>
      <w:r>
        <w:rPr>
          <w:sz w:val="24"/>
          <w:szCs w:val="24"/>
        </w:rPr>
      </w:r>
    </w:p>
    <w:p>
      <w:pPr>
        <w:pStyle w:val="Heading1"/>
        <w:keepNext w:val="false"/>
        <w:widowControl w:val="false"/>
        <w:shd w:val="clear" w:color="auto" w:fill="FF0000"/>
        <w:tabs>
          <w:tab w:val="clear" w:pos="708"/>
          <w:tab w:val="left" w:pos="567" w:leader="none"/>
          <w:tab w:val="left" w:pos="1134" w:leader="none"/>
        </w:tabs>
        <w:spacing w:lineRule="auto" w:line="276"/>
        <w:jc w:val="both"/>
        <w:rPr/>
      </w:pPr>
      <w:r>
        <w:rPr/>
        <w:t>SEÇÃO XIII – DA ADJUDICAÇÃO E HOMOLOGAÇÃO</w:t>
      </w:r>
    </w:p>
    <w:p>
      <w:pPr>
        <w:pStyle w:val="Normal"/>
        <w:widowControl w:val="false"/>
        <w:tabs>
          <w:tab w:val="clear" w:pos="708"/>
          <w:tab w:val="left" w:pos="567" w:leader="none"/>
        </w:tabs>
        <w:spacing w:lineRule="auto" w:line="276"/>
        <w:jc w:val="both"/>
        <w:rPr>
          <w:sz w:val="24"/>
          <w:szCs w:val="24"/>
        </w:rPr>
      </w:pPr>
      <w:r>
        <w:rPr>
          <w:b/>
          <w:sz w:val="24"/>
          <w:szCs w:val="24"/>
        </w:rPr>
        <w:t>13.1</w:t>
        <w:tab/>
      </w:r>
      <w:r>
        <w:rPr>
          <w:sz w:val="24"/>
          <w:szCs w:val="24"/>
        </w:rPr>
        <w:t xml:space="preserve">O objeto deste </w:t>
      </w:r>
      <w:r>
        <w:rPr>
          <w:b/>
          <w:sz w:val="24"/>
          <w:szCs w:val="24"/>
        </w:rPr>
        <w:t>Pregão</w:t>
      </w:r>
      <w:r>
        <w:rPr>
          <w:sz w:val="24"/>
          <w:szCs w:val="24"/>
        </w:rPr>
        <w:t xml:space="preserve"> será adjudicado pelo(a) Pregoeiro(a), salvo quando houver recurso, hipótese em que a adjudicação caberá à autoridade competente para homologação.</w:t>
      </w:r>
    </w:p>
    <w:p>
      <w:pPr>
        <w:pStyle w:val="Normal"/>
        <w:widowControl w:val="false"/>
        <w:tabs>
          <w:tab w:val="clear" w:pos="708"/>
          <w:tab w:val="left" w:pos="567" w:leader="none"/>
        </w:tabs>
        <w:spacing w:lineRule="auto" w:line="276"/>
        <w:jc w:val="both"/>
        <w:rPr>
          <w:sz w:val="24"/>
          <w:szCs w:val="24"/>
        </w:rPr>
      </w:pPr>
      <w:r>
        <w:rPr>
          <w:b/>
          <w:sz w:val="24"/>
          <w:szCs w:val="24"/>
        </w:rPr>
        <w:t>13.2</w:t>
        <w:tab/>
      </w:r>
      <w:r>
        <w:rPr>
          <w:sz w:val="24"/>
          <w:szCs w:val="24"/>
        </w:rPr>
        <w:t xml:space="preserve">A homologação deste </w:t>
      </w:r>
      <w:r>
        <w:rPr>
          <w:b/>
          <w:sz w:val="24"/>
          <w:szCs w:val="24"/>
        </w:rPr>
        <w:t>Pregão</w:t>
      </w:r>
      <w:r>
        <w:rPr>
          <w:sz w:val="24"/>
          <w:szCs w:val="24"/>
        </w:rPr>
        <w:t xml:space="preserve"> compete ao Presidente do Conselho Regional de Odontologia de Mato Grosso.</w:t>
      </w:r>
    </w:p>
    <w:p>
      <w:pPr>
        <w:pStyle w:val="Header"/>
        <w:widowControl w:val="false"/>
        <w:tabs>
          <w:tab w:val="left" w:pos="567" w:leader="none"/>
          <w:tab w:val="center" w:pos="4252" w:leader="none"/>
          <w:tab w:val="right" w:pos="8504" w:leader="none"/>
        </w:tabs>
        <w:spacing w:lineRule="auto" w:line="276"/>
        <w:rPr>
          <w:sz w:val="24"/>
          <w:szCs w:val="32"/>
        </w:rPr>
      </w:pPr>
      <w:r>
        <w:rPr>
          <w:b/>
          <w:sz w:val="24"/>
          <w:szCs w:val="32"/>
        </w:rPr>
        <w:t>13.3</w:t>
        <w:tab/>
      </w:r>
      <w:r>
        <w:rPr>
          <w:sz w:val="24"/>
          <w:szCs w:val="32"/>
        </w:rPr>
        <w:t xml:space="preserve">O objeto deste </w:t>
      </w:r>
      <w:r>
        <w:rPr>
          <w:b/>
          <w:sz w:val="24"/>
          <w:szCs w:val="32"/>
        </w:rPr>
        <w:t>Pregão</w:t>
      </w:r>
      <w:r>
        <w:rPr>
          <w:sz w:val="24"/>
          <w:szCs w:val="32"/>
        </w:rPr>
        <w:t xml:space="preserve"> será adjudicado por itens à(s) </w:t>
      </w:r>
      <w:r>
        <w:rPr>
          <w:b/>
          <w:sz w:val="24"/>
          <w:szCs w:val="32"/>
        </w:rPr>
        <w:t>licitante(s) vencedora(s)</w:t>
      </w:r>
      <w:r>
        <w:rPr>
          <w:sz w:val="24"/>
          <w:szCs w:val="32"/>
        </w:rPr>
        <w:t>.</w:t>
      </w:r>
    </w:p>
    <w:p>
      <w:pPr>
        <w:pStyle w:val="Normal"/>
        <w:widowControl w:val="false"/>
        <w:shd w:val="clear" w:color="auto" w:fill="FF0000"/>
        <w:spacing w:lineRule="auto" w:line="276"/>
        <w:jc w:val="both"/>
        <w:rPr>
          <w:b/>
          <w:bCs/>
          <w:sz w:val="24"/>
          <w:szCs w:val="24"/>
        </w:rPr>
      </w:pPr>
      <w:r>
        <w:rPr>
          <w:b/>
          <w:bCs/>
          <w:sz w:val="24"/>
          <w:szCs w:val="24"/>
        </w:rPr>
        <w:t>SEÇÃO XIV – DO PAGAMENTO</w:t>
      </w:r>
    </w:p>
    <w:p>
      <w:pPr>
        <w:pStyle w:val="Normal"/>
        <w:spacing w:lineRule="auto" w:line="276"/>
        <w:jc w:val="both"/>
        <w:rPr>
          <w:sz w:val="24"/>
          <w:szCs w:val="24"/>
        </w:rPr>
      </w:pPr>
      <w:r>
        <w:rPr>
          <w:b/>
          <w:bCs/>
          <w:sz w:val="24"/>
          <w:szCs w:val="24"/>
        </w:rPr>
        <w:t>14</w:t>
      </w:r>
      <w:r>
        <w:rPr>
          <w:b/>
          <w:sz w:val="24"/>
          <w:szCs w:val="24"/>
        </w:rPr>
        <w:t>.1.</w:t>
      </w:r>
      <w:r>
        <w:rPr>
          <w:sz w:val="24"/>
          <w:szCs w:val="24"/>
        </w:rPr>
        <w:t xml:space="preserve"> O pagamento dos materiais será efetuado por execução mensal, o pagamento será efetuado nos dias 10 e/ou 20 do mês subsequente a prestação/aquisição do serviço/material, devendo apresentar Nota Fiscal e/ou documentos fiscal com 10 (dez) dias de antecedência das datas programadas para pagamento de fornecedores, sendo que a nota fiscal deverá estar devidamente atestada pelo setor competente, mediante controle emitido pelo fornecedor</w:t>
      </w:r>
    </w:p>
    <w:p>
      <w:pPr>
        <w:pStyle w:val="Normal"/>
        <w:spacing w:lineRule="auto" w:line="276"/>
        <w:jc w:val="both"/>
        <w:rPr>
          <w:sz w:val="24"/>
          <w:szCs w:val="24"/>
        </w:rPr>
      </w:pPr>
      <w:r>
        <w:rPr>
          <w:b/>
          <w:bCs/>
          <w:sz w:val="24"/>
          <w:szCs w:val="24"/>
        </w:rPr>
        <w:t>14</w:t>
      </w:r>
      <w:r>
        <w:rPr>
          <w:b/>
          <w:sz w:val="24"/>
          <w:szCs w:val="24"/>
        </w:rPr>
        <w:t>.1.1.</w:t>
      </w:r>
      <w:r>
        <w:rPr>
          <w:sz w:val="24"/>
          <w:szCs w:val="24"/>
        </w:rPr>
        <w:t xml:space="preserve"> É obrigatório que a contratada faça constar, no documento fiscal, para fins de pagamento, as informações relativas aos seus dados bancários, bem como comprovação de ser optante pelo Sistema SIMPLES, se for o caso.</w:t>
      </w:r>
    </w:p>
    <w:p>
      <w:pPr>
        <w:pStyle w:val="Normal"/>
        <w:widowControl w:val="false"/>
        <w:spacing w:lineRule="auto" w:line="276"/>
        <w:jc w:val="both"/>
        <w:rPr>
          <w:sz w:val="24"/>
          <w:szCs w:val="24"/>
        </w:rPr>
      </w:pPr>
      <w:r>
        <w:rPr>
          <w:b/>
          <w:bCs/>
          <w:sz w:val="24"/>
          <w:szCs w:val="24"/>
        </w:rPr>
        <w:t>14</w:t>
      </w:r>
      <w:r>
        <w:rPr>
          <w:b/>
          <w:sz w:val="24"/>
          <w:szCs w:val="24"/>
        </w:rPr>
        <w:t>.2.</w:t>
      </w:r>
      <w:r>
        <w:rPr>
          <w:sz w:val="24"/>
          <w:szCs w:val="24"/>
        </w:rPr>
        <w:t xml:space="preserve"> É obrigação da contratada manter durante a execução contratual todas as condições de habilitação exigidas, sob pena de rescisão contratual.</w:t>
      </w:r>
    </w:p>
    <w:p>
      <w:pPr>
        <w:pStyle w:val="Normal"/>
        <w:widowControl w:val="false"/>
        <w:spacing w:lineRule="auto" w:line="276"/>
        <w:jc w:val="both"/>
        <w:rPr>
          <w:sz w:val="24"/>
          <w:szCs w:val="24"/>
        </w:rPr>
      </w:pPr>
      <w:r>
        <w:rPr>
          <w:b/>
          <w:bCs/>
          <w:sz w:val="24"/>
          <w:szCs w:val="24"/>
        </w:rPr>
        <w:t>14</w:t>
      </w:r>
      <w:r>
        <w:rPr>
          <w:b/>
          <w:sz w:val="24"/>
          <w:szCs w:val="24"/>
        </w:rPr>
        <w:t>.2.1.</w:t>
      </w:r>
      <w:r>
        <w:rPr>
          <w:sz w:val="24"/>
          <w:szCs w:val="24"/>
        </w:rPr>
        <w:t xml:space="preserve"> Caso não se encontre regularizada, a mesma terá o prazo de 15 dias, contados da sua notificação, para regularização, sem prejuízo da comunicação ao órgão fiscalizador do tributo.</w:t>
      </w:r>
    </w:p>
    <w:p>
      <w:pPr>
        <w:pStyle w:val="Normal"/>
        <w:widowControl w:val="false"/>
        <w:spacing w:lineRule="auto" w:line="276"/>
        <w:jc w:val="both"/>
        <w:rPr>
          <w:b/>
          <w:bCs/>
          <w:sz w:val="24"/>
          <w:szCs w:val="24"/>
        </w:rPr>
      </w:pPr>
      <w:r>
        <w:rPr>
          <w:b/>
          <w:bCs/>
          <w:sz w:val="24"/>
          <w:szCs w:val="24"/>
        </w:rPr>
        <w:t>14</w:t>
      </w:r>
      <w:r>
        <w:rPr>
          <w:b/>
          <w:sz w:val="24"/>
          <w:szCs w:val="24"/>
        </w:rPr>
        <w:t>.3.</w:t>
      </w:r>
      <w:r>
        <w:rPr>
          <w:sz w:val="24"/>
          <w:szCs w:val="24"/>
        </w:rPr>
        <w:t xml:space="preserve"> </w:t>
      </w:r>
      <w:r>
        <w:rPr>
          <w:b/>
          <w:bCs/>
          <w:sz w:val="24"/>
          <w:szCs w:val="24"/>
        </w:rPr>
        <w:t>A ENTREGA DEVERÁ SER CONFORME A ORDEM DE FORNECIMENTO E O PAGAMENTO SERÁ CONFORME A QUANTIDADE ENTREGUE CONSTANTE EM CADA NOTA FISCAL EMITIDA A ESTE CROMT.</w:t>
      </w:r>
    </w:p>
    <w:p>
      <w:pPr>
        <w:pStyle w:val="Normal"/>
        <w:widowControl w:val="false"/>
        <w:spacing w:lineRule="auto" w:line="276"/>
        <w:jc w:val="both"/>
        <w:rPr>
          <w:sz w:val="24"/>
          <w:szCs w:val="24"/>
        </w:rPr>
      </w:pPr>
      <w:r>
        <w:rPr>
          <w:b/>
          <w:bCs/>
          <w:sz w:val="24"/>
          <w:szCs w:val="24"/>
        </w:rPr>
        <w:t>14</w:t>
      </w:r>
      <w:r>
        <w:rPr>
          <w:b/>
          <w:sz w:val="24"/>
          <w:szCs w:val="24"/>
        </w:rPr>
        <w:t>.4</w:t>
      </w:r>
      <w:r>
        <w:rPr>
          <w:sz w:val="24"/>
          <w:szCs w:val="24"/>
        </w:rPr>
        <w:t xml:space="preserve"> A Contratada deverá indicar no corpo da Nota Fiscal/fatura, a descrição completa dos produtos entregues a este CROMT, além do número da conta, agência e nome do banco onde deverá ser feito o pagamento;</w:t>
      </w:r>
    </w:p>
    <w:p>
      <w:pPr>
        <w:pStyle w:val="Normal"/>
        <w:widowControl w:val="false"/>
        <w:spacing w:lineRule="auto" w:line="276"/>
        <w:jc w:val="both"/>
        <w:rPr>
          <w:sz w:val="24"/>
          <w:szCs w:val="24"/>
        </w:rPr>
      </w:pPr>
      <w:r>
        <w:rPr>
          <w:b/>
          <w:bCs/>
          <w:sz w:val="24"/>
          <w:szCs w:val="24"/>
        </w:rPr>
        <w:t>14</w:t>
      </w:r>
      <w:r>
        <w:rPr>
          <w:b/>
          <w:sz w:val="24"/>
          <w:szCs w:val="24"/>
        </w:rPr>
        <w:t xml:space="preserve">.4.1 </w:t>
      </w:r>
      <w:r>
        <w:rPr>
          <w:sz w:val="24"/>
          <w:szCs w:val="24"/>
        </w:rPr>
        <w:t>Caso constatado alguma irregularidade nas notas fiscais/faturas, estas serão devolvidas a Contratada, para as necessárias correções, com as informações que motivara sua rejeição, sendo o pagamento realizado após a reapresentação das notas fiscais/faturas.</w:t>
      </w:r>
    </w:p>
    <w:p>
      <w:pPr>
        <w:pStyle w:val="Normal"/>
        <w:widowControl w:val="false"/>
        <w:spacing w:lineRule="auto" w:line="276"/>
        <w:jc w:val="both"/>
        <w:rPr>
          <w:sz w:val="24"/>
          <w:szCs w:val="24"/>
        </w:rPr>
      </w:pPr>
      <w:r>
        <w:rPr>
          <w:b/>
          <w:bCs/>
          <w:sz w:val="24"/>
          <w:szCs w:val="24"/>
        </w:rPr>
        <w:t>14</w:t>
      </w:r>
      <w:r>
        <w:rPr>
          <w:b/>
          <w:sz w:val="24"/>
          <w:szCs w:val="24"/>
        </w:rPr>
        <w:t>.4.2</w:t>
      </w:r>
      <w:r>
        <w:rPr>
          <w:sz w:val="24"/>
          <w:szCs w:val="24"/>
        </w:rPr>
        <w:t>. Nenhum pagamento isentará a Contratada das suas responsabilidades e obrigações, nem implicará aceitação definitiva dos produtos entregues.</w:t>
      </w:r>
    </w:p>
    <w:p>
      <w:pPr>
        <w:pStyle w:val="Normal"/>
        <w:widowControl w:val="false"/>
        <w:spacing w:lineRule="auto" w:line="276"/>
        <w:jc w:val="both"/>
        <w:rPr>
          <w:sz w:val="24"/>
          <w:szCs w:val="24"/>
        </w:rPr>
      </w:pPr>
      <w:r>
        <w:rPr>
          <w:b/>
          <w:bCs/>
          <w:sz w:val="24"/>
          <w:szCs w:val="24"/>
        </w:rPr>
        <w:t>14</w:t>
      </w:r>
      <w:r>
        <w:rPr>
          <w:b/>
          <w:sz w:val="24"/>
          <w:szCs w:val="24"/>
        </w:rPr>
        <w:t>.5.</w:t>
      </w:r>
      <w:r>
        <w:rPr>
          <w:sz w:val="24"/>
          <w:szCs w:val="24"/>
        </w:rPr>
        <w:t xml:space="preserve"> O CROMT não efetuará pagamento de título descontado, ou por meio de cobrança em banco, bem como, os que forem negociados com terceiros por intermédio da operação de “factoring”;</w:t>
      </w:r>
    </w:p>
    <w:p>
      <w:pPr>
        <w:pStyle w:val="Normal"/>
        <w:widowControl w:val="false"/>
        <w:spacing w:lineRule="auto" w:line="276"/>
        <w:jc w:val="both"/>
        <w:rPr>
          <w:sz w:val="24"/>
          <w:szCs w:val="24"/>
        </w:rPr>
      </w:pPr>
      <w:r>
        <w:rPr>
          <w:b/>
          <w:bCs/>
          <w:sz w:val="24"/>
          <w:szCs w:val="24"/>
        </w:rPr>
        <w:t>14</w:t>
      </w:r>
      <w:r>
        <w:rPr>
          <w:b/>
          <w:sz w:val="24"/>
          <w:szCs w:val="24"/>
        </w:rPr>
        <w:t>.6.</w:t>
      </w:r>
      <w:r>
        <w:rPr>
          <w:sz w:val="24"/>
          <w:szCs w:val="24"/>
        </w:rPr>
        <w:t xml:space="preserve"> As despesas bancárias decorrentes de transferência de valores para outras praças serão de responsabilidade da Contratada.</w:t>
      </w:r>
    </w:p>
    <w:p>
      <w:pPr>
        <w:pStyle w:val="Normal"/>
        <w:widowControl w:val="false"/>
        <w:spacing w:lineRule="auto" w:line="276"/>
        <w:jc w:val="both"/>
        <w:rPr>
          <w:sz w:val="24"/>
          <w:szCs w:val="24"/>
        </w:rPr>
      </w:pPr>
      <w:r>
        <w:rPr>
          <w:b/>
          <w:bCs/>
          <w:sz w:val="24"/>
          <w:szCs w:val="24"/>
        </w:rPr>
        <w:t>14</w:t>
      </w:r>
      <w:r>
        <w:rPr>
          <w:b/>
          <w:sz w:val="24"/>
          <w:szCs w:val="24"/>
        </w:rPr>
        <w:t>.7.</w:t>
      </w:r>
      <w:r>
        <w:rPr>
          <w:sz w:val="24"/>
          <w:szCs w:val="24"/>
        </w:rPr>
        <w:t xml:space="preserve"> As Notas Fiscais deverão vir acompanhadas de comprovação de regularidade junto ao Sistema da Seguridade Social (CND) e à Fazenda Federal que compõe a </w:t>
      </w:r>
      <w:r>
        <w:rPr>
          <w:sz w:val="24"/>
          <w:szCs w:val="24"/>
          <w:shd w:fill="FFFFFF" w:val="clear"/>
        </w:rPr>
        <w:t>Certidão de Débitos Relativos a Créditos Tributários Federais e à Dívida Ativa da União</w:t>
      </w:r>
      <w:r>
        <w:rPr>
          <w:sz w:val="24"/>
          <w:szCs w:val="24"/>
        </w:rPr>
        <w:t xml:space="preserve">, o Certificado de Regularidade do FGTS (CRF), e da certidão negativa de débitos trabalhistas (CNDT), se for optante pelo simples nacional apresentar declaração, sem que isso gere direito a alteração de preços ou compensação financeira, </w:t>
      </w:r>
      <w:r>
        <w:rPr>
          <w:bCs/>
          <w:sz w:val="24"/>
          <w:szCs w:val="24"/>
        </w:rPr>
        <w:t>da Fazenda Municipal com Certidão de Débitos Gerais do município de origem da Contratada ou outra equivalente.</w:t>
      </w:r>
    </w:p>
    <w:p>
      <w:pPr>
        <w:pStyle w:val="Heading1"/>
        <w:keepNext w:val="false"/>
        <w:widowControl w:val="false"/>
        <w:shd w:val="clear" w:color="auto" w:fill="FF0000"/>
        <w:tabs>
          <w:tab w:val="clear" w:pos="708"/>
          <w:tab w:val="left" w:pos="567" w:leader="none"/>
          <w:tab w:val="left" w:pos="1134" w:leader="none"/>
        </w:tabs>
        <w:spacing w:lineRule="auto" w:line="276"/>
        <w:jc w:val="both"/>
        <w:rPr/>
      </w:pPr>
      <w:r>
        <w:rPr/>
        <w:t>SEÇÃO XV – DO INSTRUMENTO CONTRATUAL</w:t>
      </w:r>
    </w:p>
    <w:p>
      <w:pPr>
        <w:pStyle w:val="Normal"/>
        <w:widowControl w:val="false"/>
        <w:tabs>
          <w:tab w:val="clear" w:pos="708"/>
          <w:tab w:val="left" w:pos="284" w:leader="none"/>
          <w:tab w:val="left" w:pos="567" w:leader="none"/>
        </w:tabs>
        <w:spacing w:lineRule="auto" w:line="276"/>
        <w:jc w:val="both"/>
        <w:rPr>
          <w:sz w:val="24"/>
          <w:szCs w:val="24"/>
        </w:rPr>
      </w:pPr>
      <w:r>
        <w:rPr>
          <w:b/>
          <w:sz w:val="24"/>
          <w:szCs w:val="24"/>
        </w:rPr>
        <w:t>15.1</w:t>
        <w:tab/>
      </w:r>
      <w:r>
        <w:rPr>
          <w:sz w:val="24"/>
          <w:szCs w:val="24"/>
        </w:rPr>
        <w:t xml:space="preserve">Depois de homologado o resultado deste </w:t>
      </w:r>
      <w:r>
        <w:rPr>
          <w:b/>
          <w:sz w:val="24"/>
          <w:szCs w:val="24"/>
        </w:rPr>
        <w:t>Pregão</w:t>
      </w:r>
      <w:r>
        <w:rPr>
          <w:sz w:val="24"/>
          <w:szCs w:val="24"/>
        </w:rPr>
        <w:t xml:space="preserve">, a </w:t>
      </w:r>
      <w:r>
        <w:rPr>
          <w:b/>
          <w:sz w:val="24"/>
          <w:szCs w:val="24"/>
        </w:rPr>
        <w:t>licitante vencedora</w:t>
      </w:r>
      <w:r>
        <w:rPr>
          <w:sz w:val="24"/>
          <w:szCs w:val="24"/>
        </w:rPr>
        <w:t xml:space="preserve"> será convocada para assinatura do contrato, dentro do prazo de 5 (cinco) dias úteis, sob pena de decair o direito à contratação, sem prejuízo das sanções previstas neste Edital.</w:t>
      </w:r>
    </w:p>
    <w:p>
      <w:pPr>
        <w:pStyle w:val="Normal"/>
        <w:widowControl w:val="false"/>
        <w:spacing w:lineRule="auto" w:line="276"/>
        <w:jc w:val="both"/>
        <w:rPr>
          <w:sz w:val="24"/>
          <w:szCs w:val="24"/>
        </w:rPr>
      </w:pPr>
      <w:r>
        <w:rPr>
          <w:b/>
          <w:sz w:val="24"/>
          <w:szCs w:val="24"/>
        </w:rPr>
        <w:t>15.2</w:t>
        <w:tab/>
      </w:r>
      <w:r>
        <w:rPr>
          <w:sz w:val="24"/>
          <w:szCs w:val="24"/>
        </w:rPr>
        <w:t xml:space="preserve">Poderá ser acrescentada ao contrato a ser assinado qualquer vantagem apresentada pela </w:t>
      </w:r>
      <w:r>
        <w:rPr>
          <w:b/>
          <w:sz w:val="24"/>
          <w:szCs w:val="24"/>
        </w:rPr>
        <w:t>licitante</w:t>
      </w:r>
      <w:r>
        <w:rPr>
          <w:sz w:val="24"/>
          <w:szCs w:val="24"/>
        </w:rPr>
        <w:t xml:space="preserve"> </w:t>
      </w:r>
      <w:r>
        <w:rPr>
          <w:b/>
          <w:sz w:val="24"/>
          <w:szCs w:val="24"/>
        </w:rPr>
        <w:t xml:space="preserve">vencedora </w:t>
      </w:r>
      <w:r>
        <w:rPr>
          <w:sz w:val="24"/>
          <w:szCs w:val="24"/>
        </w:rPr>
        <w:t>em sua proposta, desde que seja pertinente e compatível com os termos deste Edital.</w:t>
      </w:r>
    </w:p>
    <w:p>
      <w:pPr>
        <w:pStyle w:val="Header"/>
        <w:widowControl w:val="false"/>
        <w:tabs>
          <w:tab w:val="left" w:pos="567" w:leader="none"/>
          <w:tab w:val="center" w:pos="4252" w:leader="none"/>
          <w:tab w:val="right" w:pos="8504" w:leader="none"/>
        </w:tabs>
        <w:spacing w:lineRule="auto" w:line="276"/>
        <w:rPr>
          <w:sz w:val="24"/>
          <w:szCs w:val="32"/>
        </w:rPr>
      </w:pPr>
      <w:r>
        <w:rPr>
          <w:b/>
          <w:sz w:val="24"/>
          <w:szCs w:val="32"/>
        </w:rPr>
        <w:t>15.3</w:t>
        <w:tab/>
        <w:tab/>
      </w:r>
      <w:r>
        <w:rPr>
          <w:sz w:val="24"/>
          <w:szCs w:val="32"/>
        </w:rPr>
        <w:t xml:space="preserve">O prazo para a assinatura do contrato poderá ser prorrogado uma única vez, por igual período, quando solicitado pela </w:t>
      </w:r>
      <w:r>
        <w:rPr>
          <w:b/>
          <w:sz w:val="24"/>
          <w:szCs w:val="32"/>
        </w:rPr>
        <w:t>licitante</w:t>
      </w:r>
      <w:r>
        <w:rPr>
          <w:sz w:val="24"/>
          <w:szCs w:val="32"/>
        </w:rPr>
        <w:t xml:space="preserve"> </w:t>
      </w:r>
      <w:r>
        <w:rPr>
          <w:b/>
          <w:sz w:val="24"/>
          <w:szCs w:val="32"/>
        </w:rPr>
        <w:t xml:space="preserve">vencedora </w:t>
      </w:r>
      <w:r>
        <w:rPr>
          <w:sz w:val="24"/>
          <w:szCs w:val="32"/>
        </w:rPr>
        <w:t>durante o seu transcurso, desde que ocorra motivo justificado e aceito pelo CROMT.</w:t>
      </w:r>
    </w:p>
    <w:p>
      <w:pPr>
        <w:pStyle w:val="Normal"/>
        <w:widowControl w:val="false"/>
        <w:tabs>
          <w:tab w:val="clear" w:pos="708"/>
          <w:tab w:val="left" w:pos="567" w:leader="none"/>
        </w:tabs>
        <w:spacing w:lineRule="auto" w:line="276"/>
        <w:jc w:val="both"/>
        <w:rPr>
          <w:sz w:val="24"/>
          <w:szCs w:val="24"/>
        </w:rPr>
      </w:pPr>
      <w:r>
        <w:rPr>
          <w:b/>
          <w:sz w:val="24"/>
          <w:szCs w:val="24"/>
        </w:rPr>
        <w:t>15.4</w:t>
        <w:tab/>
      </w:r>
      <w:r>
        <w:rPr>
          <w:sz w:val="24"/>
          <w:szCs w:val="24"/>
        </w:rPr>
        <w:t xml:space="preserve">Por ocasião da assinatura do contrato, verificar-se-á a comprovação de regularidade junto ao Sistema da Seguridade Social (CND) e à Fazenda Federal que compõe a </w:t>
      </w:r>
      <w:r>
        <w:rPr>
          <w:sz w:val="24"/>
          <w:szCs w:val="24"/>
          <w:shd w:fill="FFFFFF" w:val="clear"/>
        </w:rPr>
        <w:t>Certidão de Débitos Relativos a Créditos Tributários Federais e à Dívida Ativa da União</w:t>
      </w:r>
      <w:r>
        <w:rPr>
          <w:sz w:val="24"/>
          <w:szCs w:val="24"/>
        </w:rPr>
        <w:t xml:space="preserve">, o Certificado de Regularidade do FGTS (CRF), e da certidão negativa de débitos trabalhistas (CNDT), se for optante pelo simples nacional apresentar declaração, sem que isso gere direito a alteração de preços ou compensação financeira, </w:t>
      </w:r>
      <w:r>
        <w:rPr>
          <w:bCs/>
          <w:sz w:val="24"/>
          <w:szCs w:val="24"/>
        </w:rPr>
        <w:t xml:space="preserve">da Fazenda Municipal com Certidão de Débitos Gerais do município de origem da Contratada ou outra equivalente e </w:t>
      </w:r>
      <w:r>
        <w:rPr>
          <w:sz w:val="24"/>
          <w:szCs w:val="24"/>
        </w:rPr>
        <w:t xml:space="preserve">se a </w:t>
      </w:r>
      <w:r>
        <w:rPr>
          <w:b/>
          <w:sz w:val="24"/>
          <w:szCs w:val="24"/>
        </w:rPr>
        <w:t>licitante vencedora</w:t>
      </w:r>
      <w:r>
        <w:rPr>
          <w:sz w:val="24"/>
          <w:szCs w:val="24"/>
        </w:rPr>
        <w:t xml:space="preserve"> mantém as condições de habilitação.</w:t>
      </w:r>
    </w:p>
    <w:p>
      <w:pPr>
        <w:pStyle w:val="Normal"/>
        <w:widowControl w:val="false"/>
        <w:tabs>
          <w:tab w:val="clear" w:pos="708"/>
          <w:tab w:val="left" w:pos="567" w:leader="none"/>
        </w:tabs>
        <w:spacing w:lineRule="auto" w:line="276"/>
        <w:jc w:val="both"/>
        <w:rPr>
          <w:sz w:val="24"/>
          <w:szCs w:val="24"/>
        </w:rPr>
      </w:pPr>
      <w:r>
        <w:rPr>
          <w:b/>
          <w:sz w:val="24"/>
          <w:szCs w:val="24"/>
        </w:rPr>
        <w:t>15.5</w:t>
        <w:tab/>
        <w:tab/>
      </w:r>
      <w:r>
        <w:rPr>
          <w:sz w:val="24"/>
          <w:szCs w:val="24"/>
        </w:rPr>
        <w:t xml:space="preserve">Quando a </w:t>
      </w:r>
      <w:r>
        <w:rPr>
          <w:b/>
          <w:sz w:val="24"/>
          <w:szCs w:val="24"/>
        </w:rPr>
        <w:t>licitante</w:t>
      </w:r>
      <w:r>
        <w:rPr>
          <w:sz w:val="24"/>
          <w:szCs w:val="24"/>
        </w:rPr>
        <w:t xml:space="preserve"> convocada não assinar o contrato no prazo e nas condições estabelecidas, poderá ser convocada outra </w:t>
      </w:r>
      <w:r>
        <w:rPr>
          <w:b/>
          <w:sz w:val="24"/>
          <w:szCs w:val="24"/>
        </w:rPr>
        <w:t>licitante</w:t>
      </w:r>
      <w:r>
        <w:rPr>
          <w:sz w:val="24"/>
          <w:szCs w:val="24"/>
        </w:rPr>
        <w:t xml:space="preserve"> para assinar o contrato, após negociações e verificação da adequação da proposta e das condições de habilitação, obedecida à ordem de classificação. </w:t>
      </w:r>
    </w:p>
    <w:p>
      <w:pPr>
        <w:pStyle w:val="Heading1"/>
        <w:keepNext w:val="false"/>
        <w:widowControl w:val="false"/>
        <w:shd w:val="clear" w:color="auto" w:fill="FF0000"/>
        <w:tabs>
          <w:tab w:val="clear" w:pos="708"/>
          <w:tab w:val="left" w:pos="567" w:leader="none"/>
          <w:tab w:val="left" w:pos="1134" w:leader="none"/>
        </w:tabs>
        <w:spacing w:lineRule="auto" w:line="276"/>
        <w:jc w:val="both"/>
        <w:rPr/>
      </w:pPr>
      <w:r>
        <w:rPr/>
        <w:t>SEÇÃO XVI – DAS SANÇÕES</w:t>
      </w:r>
    </w:p>
    <w:p>
      <w:pPr>
        <w:pStyle w:val="Normal"/>
        <w:widowControl w:val="false"/>
        <w:tabs>
          <w:tab w:val="clear" w:pos="708"/>
          <w:tab w:val="left" w:pos="567" w:leader="none"/>
        </w:tabs>
        <w:spacing w:lineRule="auto" w:line="276"/>
        <w:jc w:val="both"/>
        <w:rPr>
          <w:sz w:val="24"/>
          <w:szCs w:val="24"/>
        </w:rPr>
      </w:pPr>
      <w:r>
        <w:rPr>
          <w:b/>
          <w:sz w:val="24"/>
          <w:szCs w:val="24"/>
        </w:rPr>
        <w:t xml:space="preserve">16.1 </w:t>
      </w:r>
      <w:r>
        <w:rPr>
          <w:sz w:val="24"/>
          <w:szCs w:val="24"/>
        </w:rPr>
        <w:t xml:space="preserve">A </w:t>
      </w:r>
      <w:r>
        <w:rPr>
          <w:b/>
          <w:sz w:val="24"/>
          <w:szCs w:val="24"/>
        </w:rPr>
        <w:t>licitante</w:t>
      </w:r>
      <w:r>
        <w:rPr>
          <w:sz w:val="24"/>
          <w:szCs w:val="24"/>
        </w:rPr>
        <w:t xml:space="preserve"> ficará impedida de licitar e contratar com o CROMT, pelo prazo de até 5 (cinco) anos, sem prejuízo de multa de até 30% (trinta por cento) do valor estimado para a contratação e demais cominações legais, nos seguintes casos:</w:t>
      </w:r>
    </w:p>
    <w:p>
      <w:pPr>
        <w:pStyle w:val="ListParagraph"/>
        <w:widowControl w:val="false"/>
        <w:numPr>
          <w:ilvl w:val="0"/>
          <w:numId w:val="13"/>
        </w:numPr>
        <w:tabs>
          <w:tab w:val="clear" w:pos="708"/>
          <w:tab w:val="left" w:pos="284" w:leader="none"/>
        </w:tabs>
        <w:spacing w:lineRule="auto" w:line="276" w:before="0" w:after="0"/>
        <w:ind w:hanging="0" w:left="0"/>
        <w:contextualSpacing w:val="false"/>
        <w:jc w:val="both"/>
        <w:rPr>
          <w:sz w:val="24"/>
          <w:szCs w:val="24"/>
        </w:rPr>
      </w:pPr>
      <w:r>
        <w:rPr>
          <w:sz w:val="24"/>
          <w:szCs w:val="24"/>
        </w:rPr>
        <w:t>Cometer fraude fiscal;</w:t>
      </w:r>
    </w:p>
    <w:p>
      <w:pPr>
        <w:pStyle w:val="ListParagraph"/>
        <w:widowControl w:val="false"/>
        <w:numPr>
          <w:ilvl w:val="0"/>
          <w:numId w:val="13"/>
        </w:numPr>
        <w:tabs>
          <w:tab w:val="clear" w:pos="708"/>
          <w:tab w:val="left" w:pos="284" w:leader="none"/>
        </w:tabs>
        <w:spacing w:lineRule="auto" w:line="276" w:before="0" w:after="0"/>
        <w:ind w:hanging="0" w:left="0"/>
        <w:contextualSpacing w:val="false"/>
        <w:jc w:val="both"/>
        <w:rPr>
          <w:sz w:val="24"/>
          <w:szCs w:val="24"/>
        </w:rPr>
      </w:pPr>
      <w:r>
        <w:rPr>
          <w:sz w:val="24"/>
          <w:szCs w:val="24"/>
        </w:rPr>
        <w:t>Apresentar documento falso;</w:t>
      </w:r>
    </w:p>
    <w:p>
      <w:pPr>
        <w:pStyle w:val="ListParagraph"/>
        <w:widowControl w:val="false"/>
        <w:numPr>
          <w:ilvl w:val="0"/>
          <w:numId w:val="13"/>
        </w:numPr>
        <w:tabs>
          <w:tab w:val="clear" w:pos="708"/>
          <w:tab w:val="left" w:pos="284" w:leader="none"/>
          <w:tab w:val="left" w:pos="709" w:leader="none"/>
        </w:tabs>
        <w:spacing w:lineRule="auto" w:line="276" w:before="0" w:after="0"/>
        <w:ind w:hanging="0" w:left="0"/>
        <w:contextualSpacing w:val="false"/>
        <w:jc w:val="both"/>
        <w:rPr>
          <w:sz w:val="24"/>
          <w:szCs w:val="24"/>
        </w:rPr>
      </w:pPr>
      <w:r>
        <w:rPr>
          <w:sz w:val="24"/>
          <w:szCs w:val="24"/>
        </w:rPr>
        <w:t>Fizer declaração falsa;</w:t>
      </w:r>
    </w:p>
    <w:p>
      <w:pPr>
        <w:pStyle w:val="ListParagraph"/>
        <w:widowControl w:val="false"/>
        <w:numPr>
          <w:ilvl w:val="0"/>
          <w:numId w:val="13"/>
        </w:numPr>
        <w:tabs>
          <w:tab w:val="clear" w:pos="708"/>
          <w:tab w:val="left" w:pos="284" w:leader="none"/>
        </w:tabs>
        <w:spacing w:lineRule="auto" w:line="276" w:before="0" w:after="0"/>
        <w:ind w:hanging="0" w:left="0"/>
        <w:contextualSpacing w:val="false"/>
        <w:jc w:val="both"/>
        <w:rPr>
          <w:sz w:val="24"/>
          <w:szCs w:val="24"/>
        </w:rPr>
      </w:pPr>
      <w:r>
        <w:rPr>
          <w:sz w:val="24"/>
          <w:szCs w:val="24"/>
        </w:rPr>
        <w:t>Comportar-se de modo inidôneo;</w:t>
      </w:r>
    </w:p>
    <w:p>
      <w:pPr>
        <w:pStyle w:val="ListParagraph"/>
        <w:widowControl w:val="false"/>
        <w:numPr>
          <w:ilvl w:val="0"/>
          <w:numId w:val="13"/>
        </w:numPr>
        <w:tabs>
          <w:tab w:val="clear" w:pos="708"/>
          <w:tab w:val="left" w:pos="284" w:leader="none"/>
        </w:tabs>
        <w:spacing w:lineRule="auto" w:line="276" w:before="0" w:after="0"/>
        <w:ind w:hanging="0" w:left="0"/>
        <w:contextualSpacing w:val="false"/>
        <w:jc w:val="both"/>
        <w:rPr>
          <w:sz w:val="24"/>
          <w:szCs w:val="24"/>
        </w:rPr>
      </w:pPr>
      <w:r>
        <w:rPr>
          <w:sz w:val="24"/>
          <w:szCs w:val="24"/>
        </w:rPr>
        <w:t>Não assinar o contrato no prazo estabelecido;</w:t>
      </w:r>
    </w:p>
    <w:p>
      <w:pPr>
        <w:pStyle w:val="ListParagraph"/>
        <w:widowControl w:val="false"/>
        <w:numPr>
          <w:ilvl w:val="0"/>
          <w:numId w:val="13"/>
        </w:numPr>
        <w:tabs>
          <w:tab w:val="clear" w:pos="708"/>
          <w:tab w:val="left" w:pos="284" w:leader="none"/>
        </w:tabs>
        <w:spacing w:lineRule="auto" w:line="276" w:before="0" w:after="0"/>
        <w:ind w:hanging="0" w:left="0"/>
        <w:contextualSpacing w:val="false"/>
        <w:jc w:val="both"/>
        <w:rPr>
          <w:sz w:val="24"/>
          <w:szCs w:val="24"/>
        </w:rPr>
      </w:pPr>
      <w:r>
        <w:rPr>
          <w:sz w:val="24"/>
          <w:szCs w:val="24"/>
        </w:rPr>
        <w:t>Deixar de entregar a documentação exigida no certame;</w:t>
      </w:r>
    </w:p>
    <w:p>
      <w:pPr>
        <w:pStyle w:val="ListParagraph"/>
        <w:widowControl w:val="false"/>
        <w:numPr>
          <w:ilvl w:val="0"/>
          <w:numId w:val="13"/>
        </w:numPr>
        <w:tabs>
          <w:tab w:val="clear" w:pos="708"/>
          <w:tab w:val="left" w:pos="284" w:leader="none"/>
        </w:tabs>
        <w:spacing w:lineRule="auto" w:line="276" w:before="0" w:after="0"/>
        <w:ind w:hanging="0" w:left="0"/>
        <w:contextualSpacing w:val="false"/>
        <w:jc w:val="both"/>
        <w:rPr>
          <w:sz w:val="24"/>
          <w:szCs w:val="24"/>
        </w:rPr>
      </w:pPr>
      <w:r>
        <w:rPr>
          <w:sz w:val="24"/>
          <w:szCs w:val="24"/>
        </w:rPr>
        <w:t>Não mantiver a proposta.</w:t>
      </w:r>
    </w:p>
    <w:p>
      <w:pPr>
        <w:pStyle w:val="Normal"/>
        <w:widowControl w:val="false"/>
        <w:tabs>
          <w:tab w:val="clear" w:pos="708"/>
          <w:tab w:val="left" w:pos="567" w:leader="none"/>
        </w:tabs>
        <w:spacing w:lineRule="auto" w:line="276"/>
        <w:jc w:val="both"/>
        <w:rPr>
          <w:sz w:val="24"/>
          <w:szCs w:val="24"/>
        </w:rPr>
      </w:pPr>
      <w:r>
        <w:rPr>
          <w:b/>
          <w:sz w:val="24"/>
          <w:szCs w:val="24"/>
        </w:rPr>
        <w:t>16.2</w:t>
        <w:tab/>
      </w:r>
      <w:r>
        <w:rPr>
          <w:sz w:val="24"/>
          <w:szCs w:val="24"/>
        </w:rPr>
        <w:t>Para os fins da subcondição, reputar-se-ão inidôneos atos como os descritos na Lei nº 14.133/21.</w:t>
      </w:r>
    </w:p>
    <w:p>
      <w:pPr>
        <w:pStyle w:val="Heading1"/>
        <w:keepNext w:val="false"/>
        <w:widowControl w:val="false"/>
        <w:shd w:val="clear" w:color="auto" w:fill="FF0000"/>
        <w:tabs>
          <w:tab w:val="clear" w:pos="708"/>
          <w:tab w:val="left" w:pos="567" w:leader="none"/>
          <w:tab w:val="left" w:pos="1134" w:leader="none"/>
        </w:tabs>
        <w:spacing w:lineRule="auto" w:line="276"/>
        <w:jc w:val="both"/>
        <w:rPr/>
      </w:pPr>
      <w:r>
        <w:rPr/>
        <w:t>SEÇÃO XVII - DOS ESCLARECIMENTOS E DA IMPUGNAÇÃO AO EDITAL</w:t>
      </w:r>
    </w:p>
    <w:p>
      <w:pPr>
        <w:pStyle w:val="Normal"/>
        <w:widowControl w:val="false"/>
        <w:tabs>
          <w:tab w:val="clear" w:pos="708"/>
          <w:tab w:val="left" w:pos="567" w:leader="none"/>
        </w:tabs>
        <w:spacing w:lineRule="auto" w:line="276"/>
        <w:jc w:val="both"/>
        <w:rPr>
          <w:b/>
          <w:bCs/>
          <w:sz w:val="24"/>
          <w:szCs w:val="24"/>
        </w:rPr>
      </w:pPr>
      <w:r>
        <w:rPr>
          <w:b/>
          <w:sz w:val="24"/>
          <w:szCs w:val="24"/>
        </w:rPr>
        <w:t>17.1</w:t>
        <w:tab/>
        <w:tab/>
      </w:r>
      <w:r>
        <w:rPr>
          <w:b/>
          <w:bCs/>
          <w:sz w:val="24"/>
          <w:szCs w:val="24"/>
        </w:rPr>
        <w:t xml:space="preserve">Até 2 (dois) dias úteis antes da data fixada para abertura da sessão pública, qualquer pessoa, física ou jurídica, poderá impugnar o ato convocatório deste Pregão mediante petição a ser anexada em campo próprio, exclusivamente, no site </w:t>
      </w:r>
      <w:r>
        <w:rPr>
          <w:rStyle w:val="Hyperlink"/>
          <w:b/>
          <w:sz w:val="24"/>
          <w:szCs w:val="24"/>
        </w:rPr>
        <w:t>http://www.comprasnet.gov.br/</w:t>
      </w:r>
      <w:r>
        <w:rPr>
          <w:b/>
          <w:bCs/>
          <w:sz w:val="24"/>
          <w:szCs w:val="24"/>
        </w:rPr>
        <w:t>.</w:t>
      </w:r>
    </w:p>
    <w:p>
      <w:pPr>
        <w:pStyle w:val="Normal"/>
        <w:widowControl w:val="false"/>
        <w:tabs>
          <w:tab w:val="clear" w:pos="708"/>
          <w:tab w:val="left" w:pos="567" w:leader="none"/>
        </w:tabs>
        <w:spacing w:lineRule="auto" w:line="276"/>
        <w:jc w:val="both"/>
        <w:rPr>
          <w:b/>
          <w:sz w:val="24"/>
          <w:szCs w:val="24"/>
        </w:rPr>
      </w:pPr>
      <w:r>
        <w:rPr>
          <w:b/>
          <w:sz w:val="24"/>
          <w:szCs w:val="24"/>
        </w:rPr>
        <w:t>17.2</w:t>
        <w:tab/>
        <w:tab/>
      </w:r>
      <w:r>
        <w:rPr>
          <w:sz w:val="24"/>
          <w:szCs w:val="24"/>
        </w:rPr>
        <w:t>O(a) Pregoeiro(a), auxiliado pelo setor técnico competente, decidirá sobre a impugnação no prazo d</w:t>
      </w:r>
      <w:r>
        <w:rPr>
          <w:color w:val="111111"/>
          <w:sz w:val="24"/>
          <w:szCs w:val="24"/>
        </w:rPr>
        <w:t xml:space="preserve">e 24 (vinte e quatro) horas. </w:t>
      </w:r>
    </w:p>
    <w:p>
      <w:pPr>
        <w:pStyle w:val="Normal"/>
        <w:widowControl w:val="false"/>
        <w:tabs>
          <w:tab w:val="clear" w:pos="708"/>
          <w:tab w:val="left" w:pos="567" w:leader="none"/>
        </w:tabs>
        <w:spacing w:lineRule="auto" w:line="276"/>
        <w:jc w:val="both"/>
        <w:rPr>
          <w:sz w:val="24"/>
          <w:szCs w:val="24"/>
        </w:rPr>
      </w:pPr>
      <w:r>
        <w:rPr>
          <w:b/>
          <w:sz w:val="24"/>
          <w:szCs w:val="24"/>
        </w:rPr>
        <w:t>17.3</w:t>
        <w:tab/>
        <w:tab/>
      </w:r>
      <w:r>
        <w:rPr>
          <w:sz w:val="24"/>
          <w:szCs w:val="24"/>
        </w:rPr>
        <w:t>Acolhida à impugnação contra este Edital, será designada nova data para a realização do certame, exceto quando, inquestionavelmente, a alteração não afetar a formulação das propostas.</w:t>
      </w:r>
    </w:p>
    <w:p>
      <w:pPr>
        <w:pStyle w:val="Normal"/>
        <w:widowControl w:val="false"/>
        <w:tabs>
          <w:tab w:val="clear" w:pos="708"/>
          <w:tab w:val="left" w:pos="567" w:leader="none"/>
        </w:tabs>
        <w:spacing w:lineRule="auto" w:line="276"/>
        <w:jc w:val="both"/>
        <w:rPr>
          <w:b/>
          <w:sz w:val="24"/>
          <w:szCs w:val="24"/>
        </w:rPr>
      </w:pPr>
      <w:r>
        <w:rPr>
          <w:b/>
          <w:sz w:val="24"/>
          <w:szCs w:val="24"/>
        </w:rPr>
        <w:t>17.4</w:t>
        <w:tab/>
        <w:tab/>
        <w:t xml:space="preserve">Os pedidos de esclarecimentos devem ser enviados ao(a) Pregoeiro(a) até 3 (três) dias úteis antes da data fixada para abertura da sessão pública, mediante petição a ser anexada em campo próprio, exclusivamente, no site </w:t>
      </w:r>
      <w:r>
        <w:rPr>
          <w:rStyle w:val="Hyperlink"/>
          <w:b/>
          <w:sz w:val="24"/>
          <w:szCs w:val="24"/>
        </w:rPr>
        <w:t>http://www.comprasnet.gov.br/</w:t>
      </w:r>
      <w:r>
        <w:rPr>
          <w:b/>
          <w:sz w:val="24"/>
          <w:szCs w:val="24"/>
        </w:rPr>
        <w:t>.</w:t>
      </w:r>
    </w:p>
    <w:p>
      <w:pPr>
        <w:pStyle w:val="Normal"/>
        <w:widowControl w:val="false"/>
        <w:tabs>
          <w:tab w:val="clear" w:pos="708"/>
          <w:tab w:val="left" w:pos="567" w:leader="none"/>
        </w:tabs>
        <w:spacing w:lineRule="auto" w:line="276"/>
        <w:jc w:val="both"/>
        <w:rPr>
          <w:i/>
          <w:i/>
          <w:sz w:val="24"/>
          <w:szCs w:val="24"/>
        </w:rPr>
      </w:pPr>
      <w:r>
        <w:rPr>
          <w:b/>
          <w:sz w:val="24"/>
          <w:szCs w:val="24"/>
        </w:rPr>
        <w:t>17.5</w:t>
        <w:tab/>
        <w:tab/>
      </w:r>
      <w:r>
        <w:rPr>
          <w:sz w:val="24"/>
          <w:szCs w:val="24"/>
        </w:rPr>
        <w:t xml:space="preserve">As respostas às impugnações e aos esclarecimentos solicitados serão disponibilizadas no sistema eletrônico para os interessados e no site </w:t>
      </w:r>
      <w:hyperlink r:id="rId16">
        <w:r>
          <w:rPr>
            <w:rStyle w:val="Hyperlink"/>
            <w:sz w:val="24"/>
            <w:szCs w:val="24"/>
          </w:rPr>
          <w:t>http://www.cromt.org.br/</w:t>
        </w:r>
      </w:hyperlink>
      <w:r>
        <w:rPr>
          <w:sz w:val="24"/>
          <w:szCs w:val="24"/>
        </w:rPr>
        <w:t xml:space="preserve"> ícone “Portal Transparência” – “Licitações”.</w:t>
      </w:r>
    </w:p>
    <w:p>
      <w:pPr>
        <w:pStyle w:val="Heading1"/>
        <w:keepNext w:val="false"/>
        <w:widowControl w:val="false"/>
        <w:shd w:val="clear" w:color="auto" w:fill="FF0000"/>
        <w:tabs>
          <w:tab w:val="clear" w:pos="708"/>
          <w:tab w:val="left" w:pos="426" w:leader="none"/>
          <w:tab w:val="left" w:pos="1134" w:leader="none"/>
        </w:tabs>
        <w:spacing w:lineRule="auto" w:line="276"/>
        <w:jc w:val="both"/>
        <w:rPr/>
      </w:pPr>
      <w:r>
        <w:rPr/>
        <w:t>SEÇÃO XVIII – DISPOSIÇÕES FINAIS</w:t>
      </w:r>
    </w:p>
    <w:p>
      <w:pPr>
        <w:pStyle w:val="Normal"/>
        <w:widowControl w:val="false"/>
        <w:tabs>
          <w:tab w:val="clear" w:pos="708"/>
          <w:tab w:val="left" w:pos="426" w:leader="none"/>
        </w:tabs>
        <w:spacing w:lineRule="auto" w:line="276"/>
        <w:jc w:val="both"/>
        <w:rPr>
          <w:sz w:val="24"/>
          <w:szCs w:val="24"/>
        </w:rPr>
      </w:pPr>
      <w:r>
        <w:rPr>
          <w:b/>
          <w:sz w:val="24"/>
          <w:szCs w:val="24"/>
        </w:rPr>
        <w:t>18.1</w:t>
        <w:tab/>
        <w:t xml:space="preserve"> </w:t>
      </w:r>
      <w:r>
        <w:rPr>
          <w:sz w:val="24"/>
          <w:szCs w:val="24"/>
        </w:rPr>
        <w:t xml:space="preserve">A Conselho Regional de Odontologia do Mato Grosso compete anular este </w:t>
      </w:r>
      <w:r>
        <w:rPr>
          <w:b/>
          <w:sz w:val="24"/>
          <w:szCs w:val="24"/>
        </w:rPr>
        <w:t>Pregão</w:t>
      </w:r>
      <w:r>
        <w:rPr>
          <w:sz w:val="24"/>
          <w:szCs w:val="24"/>
        </w:rPr>
        <w:t xml:space="preserve"> por ilegalidade, de ofício ou por provocação de qualquer pessoa, e revogar o certame por considerá-lo inoportuno ou inconveniente diante de fato superveniente, mediante ato escrito e fundamentado.</w:t>
      </w:r>
    </w:p>
    <w:p>
      <w:pPr>
        <w:pStyle w:val="Normal"/>
        <w:widowControl w:val="false"/>
        <w:tabs>
          <w:tab w:val="clear" w:pos="708"/>
          <w:tab w:val="left" w:pos="426" w:leader="none"/>
        </w:tabs>
        <w:spacing w:lineRule="auto" w:line="276"/>
        <w:jc w:val="both"/>
        <w:rPr>
          <w:sz w:val="24"/>
          <w:szCs w:val="24"/>
        </w:rPr>
      </w:pPr>
      <w:r>
        <w:rPr>
          <w:b/>
          <w:sz w:val="24"/>
          <w:szCs w:val="24"/>
        </w:rPr>
        <w:t>18.2</w:t>
        <w:tab/>
        <w:t xml:space="preserve"> </w:t>
      </w:r>
      <w:r>
        <w:rPr>
          <w:sz w:val="24"/>
          <w:szCs w:val="24"/>
        </w:rPr>
        <w:t xml:space="preserve">A anulação do </w:t>
      </w:r>
      <w:r>
        <w:rPr>
          <w:b/>
          <w:sz w:val="24"/>
          <w:szCs w:val="24"/>
        </w:rPr>
        <w:t>Pregão</w:t>
      </w:r>
      <w:r>
        <w:rPr>
          <w:sz w:val="24"/>
          <w:szCs w:val="24"/>
        </w:rPr>
        <w:t xml:space="preserve"> induz à do contrato.</w:t>
      </w:r>
    </w:p>
    <w:p>
      <w:pPr>
        <w:pStyle w:val="Normal"/>
        <w:widowControl w:val="false"/>
        <w:tabs>
          <w:tab w:val="clear" w:pos="708"/>
          <w:tab w:val="left" w:pos="426" w:leader="none"/>
        </w:tabs>
        <w:spacing w:lineRule="auto" w:line="276"/>
        <w:jc w:val="both"/>
        <w:rPr>
          <w:sz w:val="24"/>
          <w:szCs w:val="24"/>
        </w:rPr>
      </w:pPr>
      <w:r>
        <w:rPr>
          <w:b/>
          <w:sz w:val="24"/>
          <w:szCs w:val="24"/>
        </w:rPr>
        <w:t>18.3</w:t>
        <w:tab/>
        <w:t xml:space="preserve"> </w:t>
      </w:r>
      <w:r>
        <w:rPr>
          <w:sz w:val="24"/>
          <w:szCs w:val="24"/>
        </w:rPr>
        <w:t xml:space="preserve">As </w:t>
      </w:r>
      <w:r>
        <w:rPr>
          <w:b/>
          <w:sz w:val="24"/>
          <w:szCs w:val="24"/>
        </w:rPr>
        <w:t>licitantes</w:t>
      </w:r>
      <w:r>
        <w:rPr>
          <w:sz w:val="24"/>
          <w:szCs w:val="24"/>
        </w:rPr>
        <w:t xml:space="preserve"> não terão direito à indenização em decorrência da anulação do procedimento licitatório, ressalvado o direito do contratado de boa-fé de ser ressarcido pelos encargos que tiver suportado no cumprimento do contrato.</w:t>
      </w:r>
    </w:p>
    <w:p>
      <w:pPr>
        <w:pStyle w:val="Normal"/>
        <w:widowControl w:val="false"/>
        <w:tabs>
          <w:tab w:val="clear" w:pos="708"/>
          <w:tab w:val="left" w:pos="426" w:leader="none"/>
        </w:tabs>
        <w:spacing w:lineRule="auto" w:line="276"/>
        <w:jc w:val="both"/>
        <w:rPr>
          <w:sz w:val="24"/>
          <w:szCs w:val="24"/>
        </w:rPr>
      </w:pPr>
      <w:r>
        <w:rPr>
          <w:b/>
          <w:sz w:val="24"/>
          <w:szCs w:val="24"/>
        </w:rPr>
        <w:t xml:space="preserve">18.4 </w:t>
        <w:tab/>
      </w:r>
      <w:r>
        <w:rPr>
          <w:sz w:val="24"/>
          <w:szCs w:val="24"/>
        </w:rPr>
        <w:t xml:space="preserve">É facultado ao(a) Pregoeiro(a) ou à autoridade superior, em qualquer fase deste </w:t>
      </w:r>
      <w:r>
        <w:rPr>
          <w:b/>
          <w:sz w:val="24"/>
          <w:szCs w:val="24"/>
        </w:rPr>
        <w:t>Pregão</w:t>
      </w:r>
      <w:r>
        <w:rPr>
          <w:sz w:val="24"/>
          <w:szCs w:val="24"/>
        </w:rPr>
        <w:t>, promover diligência destinada a esclarecer ou completar a instrução do processo, vedada a inclusão posterior de informação ou de documentos que deveriam ter sido apresentados para fins de classificação e habilitação.</w:t>
      </w:r>
    </w:p>
    <w:p>
      <w:pPr>
        <w:pStyle w:val="Normal"/>
        <w:widowControl w:val="false"/>
        <w:tabs>
          <w:tab w:val="clear" w:pos="708"/>
          <w:tab w:val="left" w:pos="426" w:leader="none"/>
        </w:tabs>
        <w:spacing w:lineRule="auto" w:line="276"/>
        <w:jc w:val="both"/>
        <w:rPr>
          <w:sz w:val="24"/>
          <w:szCs w:val="24"/>
        </w:rPr>
      </w:pPr>
      <w:r>
        <w:rPr>
          <w:b/>
          <w:sz w:val="24"/>
          <w:szCs w:val="24"/>
        </w:rPr>
        <w:t xml:space="preserve">18.5 </w:t>
        <w:tab/>
      </w:r>
      <w:r>
        <w:rPr>
          <w:sz w:val="24"/>
          <w:szCs w:val="24"/>
        </w:rPr>
        <w:t>No julgamento das propostas e na fase de habilitação, o(a) Pregoeiro(a) poderá sanar erros ou falhas que não alterem a substância das propostas e dos documentos e a sua validade jurídica, mediante despacho fundamentado, registrado em ata e acessível a todos, atribuindo-lhes validade e eficácia para fins de classificação e habilitação.</w:t>
      </w:r>
    </w:p>
    <w:p>
      <w:pPr>
        <w:pStyle w:val="Normal"/>
        <w:widowControl w:val="false"/>
        <w:tabs>
          <w:tab w:val="clear" w:pos="708"/>
          <w:tab w:val="left" w:pos="426" w:leader="none"/>
        </w:tabs>
        <w:spacing w:lineRule="auto" w:line="276"/>
        <w:jc w:val="both"/>
        <w:rPr>
          <w:sz w:val="24"/>
          <w:szCs w:val="24"/>
        </w:rPr>
      </w:pPr>
      <w:r>
        <w:rPr>
          <w:b/>
          <w:sz w:val="24"/>
          <w:szCs w:val="24"/>
        </w:rPr>
        <w:t>18.6</w:t>
        <w:tab/>
        <w:t xml:space="preserve"> </w:t>
      </w:r>
      <w:r>
        <w:rPr>
          <w:sz w:val="24"/>
          <w:szCs w:val="24"/>
        </w:rPr>
        <w:t xml:space="preserve">Caso os prazos definidos neste Edital não estejam expressamente indicados na proposta, eles serão considerados como aceitos para efeito de julgamento deste </w:t>
      </w:r>
      <w:r>
        <w:rPr>
          <w:b/>
          <w:sz w:val="24"/>
          <w:szCs w:val="24"/>
        </w:rPr>
        <w:t>Pregão</w:t>
      </w:r>
      <w:r>
        <w:rPr>
          <w:sz w:val="24"/>
          <w:szCs w:val="24"/>
        </w:rPr>
        <w:t>.</w:t>
      </w:r>
    </w:p>
    <w:p>
      <w:pPr>
        <w:pStyle w:val="Normal"/>
        <w:widowControl w:val="false"/>
        <w:tabs>
          <w:tab w:val="clear" w:pos="708"/>
          <w:tab w:val="left" w:pos="426" w:leader="none"/>
        </w:tabs>
        <w:spacing w:lineRule="auto" w:line="276"/>
        <w:jc w:val="both"/>
        <w:rPr>
          <w:sz w:val="24"/>
          <w:szCs w:val="24"/>
        </w:rPr>
      </w:pPr>
      <w:r>
        <w:rPr>
          <w:b/>
          <w:sz w:val="24"/>
          <w:szCs w:val="24"/>
        </w:rPr>
        <w:t xml:space="preserve">18.7 </w:t>
        <w:tab/>
      </w:r>
      <w:r>
        <w:rPr>
          <w:sz w:val="24"/>
          <w:szCs w:val="24"/>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pPr>
        <w:pStyle w:val="Normal"/>
        <w:widowControl w:val="false"/>
        <w:tabs>
          <w:tab w:val="clear" w:pos="708"/>
          <w:tab w:val="left" w:pos="426" w:leader="none"/>
        </w:tabs>
        <w:spacing w:lineRule="auto" w:line="276"/>
        <w:jc w:val="both"/>
        <w:rPr>
          <w:sz w:val="24"/>
          <w:szCs w:val="24"/>
        </w:rPr>
      </w:pPr>
      <w:r>
        <w:rPr>
          <w:b/>
          <w:sz w:val="24"/>
          <w:szCs w:val="24"/>
        </w:rPr>
        <w:t>18.8</w:t>
        <w:tab/>
        <w:t xml:space="preserve"> </w:t>
      </w:r>
      <w:r>
        <w:rPr>
          <w:sz w:val="24"/>
          <w:szCs w:val="24"/>
        </w:rPr>
        <w:t>Em caso de divergência entre normas infralegais e as contidas neste Edital, prevalecerão as últimas.</w:t>
      </w:r>
    </w:p>
    <w:p>
      <w:pPr>
        <w:pStyle w:val="Normal"/>
        <w:widowControl w:val="false"/>
        <w:tabs>
          <w:tab w:val="clear" w:pos="708"/>
          <w:tab w:val="left" w:pos="426" w:leader="none"/>
        </w:tabs>
        <w:spacing w:lineRule="auto" w:line="276"/>
        <w:jc w:val="both"/>
        <w:rPr>
          <w:sz w:val="24"/>
          <w:szCs w:val="24"/>
        </w:rPr>
      </w:pPr>
      <w:r>
        <w:rPr>
          <w:b/>
          <w:sz w:val="24"/>
          <w:szCs w:val="24"/>
        </w:rPr>
        <w:t>18.9</w:t>
        <w:tab/>
        <w:t xml:space="preserve"> </w:t>
      </w:r>
      <w:r>
        <w:rPr>
          <w:sz w:val="24"/>
          <w:szCs w:val="24"/>
        </w:rPr>
        <w:t xml:space="preserve">Este </w:t>
      </w:r>
      <w:r>
        <w:rPr>
          <w:b/>
          <w:sz w:val="24"/>
          <w:szCs w:val="24"/>
        </w:rPr>
        <w:t>Pregão</w:t>
      </w:r>
      <w:r>
        <w:rPr>
          <w:sz w:val="24"/>
          <w:szCs w:val="24"/>
        </w:rPr>
        <w:t xml:space="preserve"> poderá ter a data de abertura da sessão pública transferida por conveniência do CROMT.</w:t>
      </w:r>
    </w:p>
    <w:p>
      <w:pPr>
        <w:pStyle w:val="Heading1"/>
        <w:keepNext w:val="false"/>
        <w:widowControl w:val="false"/>
        <w:tabs>
          <w:tab w:val="clear" w:pos="708"/>
          <w:tab w:val="left" w:pos="567" w:leader="none"/>
          <w:tab w:val="left" w:pos="1134" w:leader="none"/>
        </w:tabs>
        <w:spacing w:lineRule="auto" w:line="276"/>
        <w:jc w:val="both"/>
        <w:rPr/>
      </w:pPr>
      <w:r>
        <w:rPr/>
      </w:r>
    </w:p>
    <w:p>
      <w:pPr>
        <w:pStyle w:val="Heading1"/>
        <w:keepNext w:val="false"/>
        <w:widowControl w:val="false"/>
        <w:shd w:val="clear" w:color="auto" w:fill="FF0000"/>
        <w:tabs>
          <w:tab w:val="clear" w:pos="708"/>
          <w:tab w:val="left" w:pos="567" w:leader="none"/>
          <w:tab w:val="left" w:pos="1134" w:leader="none"/>
        </w:tabs>
        <w:spacing w:lineRule="auto" w:line="276"/>
        <w:jc w:val="both"/>
        <w:rPr/>
      </w:pPr>
      <w:r>
        <w:rPr/>
        <w:t>SEÇÃO XIX – DOS ANEXOS</w:t>
      </w:r>
    </w:p>
    <w:p>
      <w:pPr>
        <w:pStyle w:val="ListParagraph"/>
        <w:widowControl w:val="false"/>
        <w:numPr>
          <w:ilvl w:val="0"/>
          <w:numId w:val="21"/>
        </w:numPr>
        <w:tabs>
          <w:tab w:val="clear" w:pos="708"/>
          <w:tab w:val="left" w:pos="567" w:leader="none"/>
        </w:tabs>
        <w:spacing w:lineRule="auto" w:line="276"/>
        <w:ind w:hanging="0" w:left="0"/>
        <w:rPr>
          <w:sz w:val="24"/>
          <w:szCs w:val="24"/>
        </w:rPr>
      </w:pPr>
      <w:r>
        <w:rPr>
          <w:sz w:val="24"/>
          <w:szCs w:val="24"/>
        </w:rPr>
        <w:t>São partes integrantes deste Edital os seguintes anexos:</w:t>
      </w:r>
    </w:p>
    <w:p>
      <w:pPr>
        <w:pStyle w:val="Normal"/>
        <w:widowControl w:val="false"/>
        <w:spacing w:lineRule="auto" w:line="360"/>
        <w:jc w:val="both"/>
        <w:rPr/>
      </w:pPr>
      <w:r>
        <w:rPr>
          <w:sz w:val="24"/>
          <w:szCs w:val="24"/>
        </w:rPr>
        <w:t>Anexo I - Termo de Referência;</w:t>
      </w:r>
    </w:p>
    <w:p>
      <w:pPr>
        <w:pStyle w:val="Normal"/>
        <w:widowControl w:val="false"/>
        <w:spacing w:lineRule="auto" w:line="360"/>
        <w:jc w:val="both"/>
        <w:rPr/>
      </w:pPr>
      <w:r>
        <w:rPr>
          <w:sz w:val="24"/>
          <w:szCs w:val="24"/>
        </w:rPr>
        <w:t>Anexo II – Modelo de Proposta de Preços;</w:t>
      </w:r>
    </w:p>
    <w:p>
      <w:pPr>
        <w:pStyle w:val="Normal"/>
        <w:widowControl w:val="false"/>
        <w:spacing w:lineRule="auto" w:line="360"/>
        <w:jc w:val="both"/>
        <w:rPr/>
      </w:pPr>
      <w:r>
        <w:rPr>
          <w:sz w:val="24"/>
          <w:szCs w:val="24"/>
        </w:rPr>
        <w:t>Anexo III – Modelo Declaração Requisitos Legais;</w:t>
      </w:r>
    </w:p>
    <w:p>
      <w:pPr>
        <w:pStyle w:val="Normal"/>
        <w:widowControl w:val="false"/>
        <w:spacing w:lineRule="auto" w:line="360"/>
        <w:jc w:val="both"/>
        <w:rPr/>
      </w:pPr>
      <w:r>
        <w:rPr>
          <w:sz w:val="24"/>
          <w:szCs w:val="24"/>
        </w:rPr>
        <w:t>Anexo IV– Modelo Declaração Superveniência de Fatos Impeditivos;</w:t>
      </w:r>
    </w:p>
    <w:p>
      <w:pPr>
        <w:pStyle w:val="Normal"/>
        <w:widowControl w:val="false"/>
        <w:spacing w:lineRule="auto" w:line="360"/>
        <w:jc w:val="both"/>
        <w:rPr/>
      </w:pPr>
      <w:r>
        <w:rPr>
          <w:sz w:val="24"/>
          <w:szCs w:val="24"/>
        </w:rPr>
        <w:t>Anexo V – Requerimento Tratamento Diferenciado ME/EPP;</w:t>
      </w:r>
    </w:p>
    <w:p>
      <w:pPr>
        <w:pStyle w:val="Normal"/>
        <w:widowControl w:val="false"/>
        <w:spacing w:lineRule="auto" w:line="360"/>
        <w:jc w:val="both"/>
        <w:rPr/>
      </w:pPr>
      <w:bookmarkStart w:id="2" w:name="_Hlk140564640"/>
      <w:r>
        <w:rPr>
          <w:sz w:val="24"/>
          <w:szCs w:val="24"/>
        </w:rPr>
        <w:t>Anexo VI – Recibo Retirada de Edital;</w:t>
      </w:r>
      <w:bookmarkEnd w:id="2"/>
    </w:p>
    <w:p>
      <w:pPr>
        <w:pStyle w:val="Normal"/>
        <w:widowControl w:val="false"/>
        <w:spacing w:lineRule="auto" w:line="360"/>
        <w:jc w:val="both"/>
        <w:rPr/>
      </w:pPr>
      <w:r>
        <w:rPr>
          <w:sz w:val="24"/>
          <w:szCs w:val="24"/>
        </w:rPr>
        <w:t xml:space="preserve">Anexo VII – Modelo Atestado (Declaração) Capacidade Técnica; </w:t>
      </w:r>
    </w:p>
    <w:p>
      <w:pPr>
        <w:pStyle w:val="Normal"/>
        <w:widowControl w:val="false"/>
        <w:spacing w:lineRule="auto" w:line="360"/>
        <w:jc w:val="both"/>
        <w:rPr/>
      </w:pPr>
      <w:r>
        <w:rPr>
          <w:sz w:val="24"/>
          <w:szCs w:val="24"/>
        </w:rPr>
        <w:t>Anexo VIII – Minuta do Contrato;</w:t>
      </w:r>
    </w:p>
    <w:p>
      <w:pPr>
        <w:pStyle w:val="Normal"/>
        <w:widowControl w:val="false"/>
        <w:spacing w:lineRule="auto" w:line="360"/>
        <w:jc w:val="both"/>
        <w:rPr/>
      </w:pPr>
      <w:r>
        <w:rPr>
          <w:sz w:val="24"/>
          <w:szCs w:val="24"/>
        </w:rPr>
        <w:t>Anexo IX – Estudo Técnico Preliminar;</w:t>
      </w:r>
    </w:p>
    <w:p>
      <w:pPr>
        <w:pStyle w:val="Heading1"/>
        <w:keepNext w:val="false"/>
        <w:widowControl w:val="false"/>
        <w:tabs>
          <w:tab w:val="clear" w:pos="708"/>
          <w:tab w:val="left" w:pos="1134" w:leader="none"/>
        </w:tabs>
        <w:spacing w:lineRule="auto" w:line="276"/>
        <w:jc w:val="both"/>
        <w:rPr/>
      </w:pPr>
      <w:r>
        <w:rPr/>
      </w:r>
    </w:p>
    <w:p>
      <w:pPr>
        <w:pStyle w:val="Heading1"/>
        <w:keepNext w:val="false"/>
        <w:widowControl w:val="false"/>
        <w:shd w:val="clear" w:color="auto" w:fill="FF0000"/>
        <w:tabs>
          <w:tab w:val="clear" w:pos="708"/>
          <w:tab w:val="left" w:pos="1134" w:leader="none"/>
        </w:tabs>
        <w:spacing w:lineRule="auto" w:line="276"/>
        <w:jc w:val="both"/>
        <w:rPr/>
      </w:pPr>
      <w:r>
        <w:rPr/>
        <w:t>SEÇÃO XX – DO FORO</w:t>
      </w:r>
    </w:p>
    <w:p>
      <w:pPr>
        <w:pStyle w:val="ListParagraph"/>
        <w:widowControl w:val="false"/>
        <w:numPr>
          <w:ilvl w:val="1"/>
          <w:numId w:val="22"/>
        </w:numPr>
        <w:tabs>
          <w:tab w:val="clear" w:pos="708"/>
          <w:tab w:val="left" w:pos="0" w:leader="none"/>
        </w:tabs>
        <w:spacing w:lineRule="auto" w:line="276"/>
        <w:ind w:hanging="0" w:left="0"/>
        <w:jc w:val="both"/>
        <w:rPr>
          <w:sz w:val="24"/>
          <w:szCs w:val="24"/>
        </w:rPr>
      </w:pPr>
      <w:r>
        <w:rPr>
          <w:sz w:val="24"/>
          <w:szCs w:val="24"/>
        </w:rPr>
        <w:t>As questões decorrentes da execução deste Instrumento, que não possam ser dirimidas administrativamente, serão processadas e julgadas no Foro da cidade de Cuiabá/MT, com exclusão de qualquer outro, por mais privilegiado que seja salvo nos casos previstos no art. 102, inciso I, alínea “d” da Constituição Federal.</w:t>
      </w:r>
    </w:p>
    <w:p>
      <w:pPr>
        <w:pStyle w:val="Normal"/>
        <w:widowControl w:val="false"/>
        <w:numPr>
          <w:ilvl w:val="0"/>
          <w:numId w:val="0"/>
        </w:numPr>
        <w:spacing w:lineRule="auto" w:line="276"/>
        <w:ind w:hanging="0" w:left="0" w:right="-1"/>
        <w:jc w:val="right"/>
        <w:outlineLvl w:val="0"/>
        <w:rPr>
          <w:sz w:val="24"/>
          <w:szCs w:val="24"/>
        </w:rPr>
      </w:pPr>
      <w:r>
        <w:rPr>
          <w:sz w:val="24"/>
          <w:szCs w:val="24"/>
        </w:rPr>
        <w:t>Cuiabá, 06 de fevereiro de 2024.</w:t>
      </w:r>
    </w:p>
    <w:p>
      <w:pPr>
        <w:pStyle w:val="Normal"/>
        <w:widowControl w:val="false"/>
        <w:numPr>
          <w:ilvl w:val="0"/>
          <w:numId w:val="0"/>
        </w:numPr>
        <w:spacing w:lineRule="auto" w:line="276"/>
        <w:ind w:hanging="0" w:left="0" w:right="-1"/>
        <w:jc w:val="center"/>
        <w:outlineLvl w:val="0"/>
        <w:rPr>
          <w:sz w:val="24"/>
          <w:szCs w:val="24"/>
        </w:rPr>
      </w:pPr>
      <w:r>
        <w:rPr>
          <w:sz w:val="24"/>
          <w:szCs w:val="24"/>
        </w:rPr>
      </w:r>
    </w:p>
    <w:p>
      <w:pPr>
        <w:pStyle w:val="Normal"/>
        <w:spacing w:lineRule="auto" w:line="276"/>
        <w:jc w:val="center"/>
        <w:rPr>
          <w:sz w:val="24"/>
          <w:szCs w:val="24"/>
        </w:rPr>
      </w:pPr>
      <w:r>
        <w:rPr>
          <w:sz w:val="24"/>
          <w:szCs w:val="24"/>
        </w:rPr>
      </w:r>
    </w:p>
    <w:p>
      <w:pPr>
        <w:pStyle w:val="Normal"/>
        <w:spacing w:lineRule="auto" w:line="276"/>
        <w:jc w:val="center"/>
        <w:rPr>
          <w:sz w:val="24"/>
          <w:szCs w:val="24"/>
        </w:rPr>
      </w:pPr>
      <w:r>
        <w:rPr>
          <w:sz w:val="24"/>
          <w:szCs w:val="24"/>
        </w:rPr>
      </w:r>
    </w:p>
    <w:p>
      <w:pPr>
        <w:pStyle w:val="Default"/>
        <w:jc w:val="center"/>
        <w:rPr/>
      </w:pPr>
      <w:r>
        <w:rPr>
          <w:b/>
          <w:bCs/>
          <w:color w:val="000000"/>
          <w:sz w:val="23"/>
          <w:szCs w:val="24"/>
        </w:rPr>
        <w:t>Paulo Vitor Ribeiro de Magalhães</w:t>
      </w:r>
    </w:p>
    <w:p>
      <w:pPr>
        <w:pStyle w:val="Default"/>
        <w:jc w:val="center"/>
        <w:rPr>
          <w:b w:val="false"/>
          <w:strike w:val="false"/>
          <w:dstrike w:val="false"/>
          <w:color w:val="000000"/>
          <w:sz w:val="23"/>
          <w:u w:val="none"/>
        </w:rPr>
      </w:pPr>
      <w:r>
        <w:rPr>
          <w:b/>
          <w:strike w:val="false"/>
          <w:dstrike w:val="false"/>
          <w:color w:val="000000"/>
          <w:sz w:val="23"/>
          <w:u w:val="none"/>
        </w:rPr>
        <w:t xml:space="preserve">Pregoeiro - Portaria Nº 01/2024 de 05 de janeiro 2024 </w:t>
      </w:r>
    </w:p>
    <w:p>
      <w:pPr>
        <w:pStyle w:val="Default"/>
        <w:jc w:val="center"/>
        <w:rPr>
          <w:b w:val="false"/>
          <w:strike w:val="false"/>
          <w:dstrike w:val="false"/>
          <w:color w:val="000000"/>
          <w:sz w:val="23"/>
          <w:u w:val="none"/>
        </w:rPr>
      </w:pPr>
      <w:r>
        <w:rPr>
          <w:b w:val="false"/>
          <w:strike w:val="false"/>
          <w:dstrike w:val="false"/>
          <w:color w:val="000000"/>
          <w:sz w:val="23"/>
          <w:u w:val="none"/>
        </w:rPr>
      </w:r>
    </w:p>
    <w:p>
      <w:pPr>
        <w:pStyle w:val="Default"/>
        <w:jc w:val="center"/>
        <w:rPr>
          <w:b w:val="false"/>
          <w:strike w:val="false"/>
          <w:dstrike w:val="false"/>
          <w:color w:val="000000"/>
          <w:sz w:val="23"/>
          <w:u w:val="none"/>
        </w:rPr>
      </w:pPr>
      <w:r>
        <w:rPr>
          <w:b w:val="false"/>
          <w:strike w:val="false"/>
          <w:dstrike w:val="false"/>
          <w:color w:val="000000"/>
          <w:sz w:val="23"/>
          <w:u w:val="none"/>
        </w:rPr>
      </w:r>
    </w:p>
    <w:p>
      <w:pPr>
        <w:pStyle w:val="Default"/>
        <w:jc w:val="center"/>
        <w:rPr>
          <w:b w:val="false"/>
          <w:strike w:val="false"/>
          <w:dstrike w:val="false"/>
          <w:color w:val="000000"/>
          <w:sz w:val="23"/>
          <w:u w:val="none"/>
        </w:rPr>
      </w:pPr>
      <w:r>
        <w:rPr>
          <w:b w:val="false"/>
          <w:strike w:val="false"/>
          <w:dstrike w:val="false"/>
          <w:color w:val="000000"/>
          <w:sz w:val="23"/>
          <w:u w:val="none"/>
        </w:rPr>
      </w:r>
    </w:p>
    <w:p>
      <w:pPr>
        <w:pStyle w:val="Default"/>
        <w:jc w:val="center"/>
        <w:rPr>
          <w:b w:val="false"/>
          <w:strike w:val="false"/>
          <w:dstrike w:val="false"/>
          <w:color w:val="000000"/>
          <w:sz w:val="23"/>
          <w:u w:val="none"/>
        </w:rPr>
      </w:pPr>
      <w:r>
        <w:rPr>
          <w:b w:val="false"/>
          <w:strike w:val="false"/>
          <w:dstrike w:val="false"/>
          <w:color w:val="000000"/>
          <w:sz w:val="23"/>
          <w:u w:val="none"/>
        </w:rPr>
      </w:r>
    </w:p>
    <w:p>
      <w:pPr>
        <w:pStyle w:val="Default"/>
        <w:rPr>
          <w:b w:val="false"/>
          <w:strike w:val="false"/>
          <w:dstrike w:val="false"/>
          <w:color w:val="000000"/>
          <w:sz w:val="23"/>
          <w:u w:val="none"/>
        </w:rPr>
      </w:pPr>
      <w:r>
        <w:rPr>
          <w:b w:val="false"/>
          <w:strike w:val="false"/>
          <w:dstrike w:val="false"/>
          <w:color w:val="000000"/>
          <w:sz w:val="23"/>
          <w:u w:val="none"/>
        </w:rPr>
      </w:r>
    </w:p>
    <w:p>
      <w:pPr>
        <w:pStyle w:val="Default"/>
        <w:rPr>
          <w:b w:val="false"/>
          <w:strike w:val="false"/>
          <w:dstrike w:val="false"/>
          <w:color w:val="000000"/>
          <w:sz w:val="23"/>
          <w:u w:val="none"/>
        </w:rPr>
      </w:pPr>
      <w:r>
        <w:rPr>
          <w:b w:val="false"/>
          <w:strike w:val="false"/>
          <w:dstrike w:val="false"/>
          <w:color w:val="000000"/>
          <w:sz w:val="23"/>
          <w:u w:val="none"/>
        </w:rPr>
      </w:r>
    </w:p>
    <w:p>
      <w:pPr>
        <w:pStyle w:val="Default"/>
        <w:rPr>
          <w:b w:val="false"/>
          <w:strike w:val="false"/>
          <w:dstrike w:val="false"/>
          <w:color w:val="000000"/>
          <w:sz w:val="23"/>
          <w:u w:val="none"/>
        </w:rPr>
      </w:pPr>
      <w:r>
        <w:rPr>
          <w:b w:val="false"/>
          <w:strike w:val="false"/>
          <w:dstrike w:val="false"/>
          <w:color w:val="000000"/>
          <w:sz w:val="23"/>
          <w:u w:val="none"/>
        </w:rPr>
      </w:r>
    </w:p>
    <w:p>
      <w:pPr>
        <w:pStyle w:val="Default"/>
        <w:rPr>
          <w:b w:val="false"/>
          <w:strike w:val="false"/>
          <w:dstrike w:val="false"/>
          <w:color w:val="000000"/>
          <w:sz w:val="23"/>
          <w:u w:val="none"/>
        </w:rPr>
      </w:pPr>
      <w:r>
        <w:rPr>
          <w:b w:val="false"/>
          <w:strike w:val="false"/>
          <w:dstrike w:val="false"/>
          <w:color w:val="000000"/>
          <w:sz w:val="23"/>
          <w:u w:val="none"/>
        </w:rPr>
      </w:r>
    </w:p>
    <w:p>
      <w:pPr>
        <w:pStyle w:val="Default"/>
        <w:jc w:val="center"/>
        <w:rPr/>
      </w:pPr>
      <w:r>
        <w:rPr>
          <w:b/>
          <w:strike w:val="false"/>
          <w:dstrike w:val="false"/>
          <w:color w:val="000000"/>
          <w:sz w:val="23"/>
          <w:u w:val="none"/>
        </w:rPr>
        <w:t xml:space="preserve">Wania Christina Figueiredo Dantas </w:t>
      </w:r>
    </w:p>
    <w:p>
      <w:pPr>
        <w:pStyle w:val="Normal"/>
        <w:spacing w:lineRule="auto" w:line="276"/>
        <w:jc w:val="center"/>
        <w:rPr>
          <w:b/>
          <w:sz w:val="24"/>
          <w:szCs w:val="24"/>
          <w:highlight w:val="none"/>
          <w:shd w:fill="auto" w:val="clear"/>
        </w:rPr>
      </w:pPr>
      <w:r>
        <w:rPr>
          <w:b/>
          <w:strike w:val="false"/>
          <w:dstrike w:val="false"/>
          <w:color w:val="000000"/>
          <w:sz w:val="23"/>
          <w:szCs w:val="24"/>
          <w:u w:val="none"/>
          <w:shd w:fill="auto" w:val="clear"/>
        </w:rPr>
        <w:t xml:space="preserve">Presidente do CROMT </w:t>
      </w:r>
    </w:p>
    <w:p>
      <w:pPr>
        <w:pStyle w:val="Normal"/>
        <w:spacing w:lineRule="auto" w:line="276"/>
        <w:jc w:val="center"/>
        <w:rPr>
          <w:b/>
          <w:sz w:val="24"/>
          <w:szCs w:val="24"/>
          <w:highlight w:val="yellow"/>
        </w:rPr>
      </w:pPr>
      <w:r>
        <w:rPr>
          <w:b/>
          <w:sz w:val="24"/>
          <w:szCs w:val="24"/>
          <w:highlight w:val="yellow"/>
        </w:rPr>
      </w:r>
    </w:p>
    <w:p>
      <w:pPr>
        <w:pStyle w:val="Normal"/>
        <w:spacing w:lineRule="auto" w:line="276"/>
        <w:jc w:val="center"/>
        <w:rPr>
          <w:sz w:val="24"/>
          <w:szCs w:val="24"/>
        </w:rPr>
      </w:pPr>
      <w:r>
        <w:rPr>
          <w:sz w:val="24"/>
          <w:szCs w:val="24"/>
        </w:rPr>
      </w:r>
    </w:p>
    <w:p>
      <w:pPr>
        <w:pStyle w:val="Normal"/>
        <w:spacing w:lineRule="auto" w:line="276"/>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r>
    </w:p>
    <w:p>
      <w:pPr>
        <w:pStyle w:val="Normal"/>
        <w:widowControl w:val="false"/>
        <w:spacing w:lineRule="auto" w:line="276"/>
        <w:ind w:right="-568"/>
        <w:jc w:val="center"/>
        <w:rPr>
          <w:b/>
          <w:sz w:val="24"/>
          <w:szCs w:val="24"/>
        </w:rPr>
      </w:pPr>
      <w:r>
        <w:rPr>
          <w:b/>
          <w:sz w:val="24"/>
          <w:szCs w:val="24"/>
        </w:rPr>
        <w:t>ANEXO I – TERMO DE REFERÊNCIA</w:t>
      </w:r>
    </w:p>
    <w:p>
      <w:pPr>
        <w:pStyle w:val="Normal"/>
        <w:widowControl w:val="false"/>
        <w:spacing w:lineRule="auto" w:line="276"/>
        <w:ind w:right="-568"/>
        <w:jc w:val="center"/>
        <w:rPr>
          <w:b/>
          <w:sz w:val="24"/>
          <w:szCs w:val="24"/>
        </w:rPr>
      </w:pPr>
      <w:r>
        <w:rPr>
          <w:b/>
          <w:sz w:val="24"/>
          <w:szCs w:val="24"/>
        </w:rPr>
      </w:r>
    </w:p>
    <w:p>
      <w:pPr>
        <w:pStyle w:val="Normal"/>
        <w:shd w:val="clear" w:color="auto" w:fill="FFFFFF" w:themeFill="background1"/>
        <w:spacing w:lineRule="auto" w:line="276"/>
        <w:jc w:val="center"/>
        <w:rPr>
          <w:b/>
          <w:sz w:val="24"/>
          <w:szCs w:val="24"/>
          <w:u w:val="single"/>
        </w:rPr>
      </w:pPr>
      <w:r>
        <w:rPr>
          <w:b/>
          <w:sz w:val="24"/>
          <w:szCs w:val="24"/>
          <w:u w:val="single"/>
        </w:rPr>
        <w:t xml:space="preserve"> </w:t>
      </w:r>
      <w:r>
        <w:rPr>
          <w:b/>
          <w:sz w:val="24"/>
          <w:szCs w:val="24"/>
          <w:u w:val="single"/>
        </w:rPr>
        <w:t>TERMO DE REFERÊNCIA N.º 03/CROMT/2024</w:t>
      </w:r>
    </w:p>
    <w:p>
      <w:pPr>
        <w:pStyle w:val="Normal"/>
        <w:spacing w:lineRule="auto" w:line="276"/>
        <w:rPr>
          <w:sz w:val="24"/>
          <w:szCs w:val="24"/>
        </w:rPr>
      </w:pPr>
      <w:r>
        <w:rPr>
          <w:sz w:val="24"/>
          <w:szCs w:val="24"/>
        </w:rPr>
        <w:t xml:space="preserve">                                                        </w:t>
      </w:r>
    </w:p>
    <w:p>
      <w:pPr>
        <w:pStyle w:val="Normal"/>
        <w:pBdr>
          <w:top w:val="single" w:sz="4" w:space="0" w:color="000000"/>
          <w:left w:val="single" w:sz="4" w:space="4" w:color="000000"/>
          <w:bottom w:val="single" w:sz="4" w:space="1" w:color="000000"/>
          <w:right w:val="single" w:sz="4" w:space="4" w:color="000000"/>
        </w:pBdr>
        <w:shd w:val="clear" w:color="auto" w:fill="A6A6A6" w:themeFill="background1" w:themeFillShade="a6"/>
        <w:spacing w:lineRule="auto" w:line="276"/>
        <w:jc w:val="both"/>
        <w:rPr>
          <w:sz w:val="24"/>
          <w:szCs w:val="24"/>
        </w:rPr>
      </w:pPr>
      <w:r>
        <w:rPr>
          <w:b/>
          <w:bCs/>
          <w:sz w:val="24"/>
          <w:szCs w:val="24"/>
        </w:rPr>
        <w:t xml:space="preserve">1. OBJETO </w:t>
      </w:r>
    </w:p>
    <w:p>
      <w:pPr>
        <w:pStyle w:val="Normal"/>
        <w:spacing w:lineRule="auto" w:line="276"/>
        <w:jc w:val="both"/>
        <w:rPr>
          <w:sz w:val="24"/>
          <w:szCs w:val="24"/>
        </w:rPr>
      </w:pPr>
      <w:r>
        <w:rPr>
          <w:sz w:val="24"/>
          <w:szCs w:val="24"/>
        </w:rPr>
        <w:t>1.1 Este Termo de Referência tem por objeto a “</w:t>
      </w:r>
      <w:bookmarkStart w:id="3" w:name="_Hlk156461539"/>
      <w:r>
        <w:rPr>
          <w:sz w:val="24"/>
          <w:szCs w:val="24"/>
        </w:rPr>
        <w:t>CONTRATAÇÃO DE EMPRESA PARA A PRESTAÇÃO DE SERVIÇO DE EMISSÃO DE PASSAGENS AÉREA E RODOVIÁRIAS CONFORME AS ESPECIFICAÇÕES E CONDIÇÕES ESTABELECIDAS NESTE EDITAL E SEUS ANEXOS</w:t>
      </w:r>
      <w:bookmarkEnd w:id="3"/>
      <w:r>
        <w:rPr>
          <w:sz w:val="24"/>
          <w:szCs w:val="24"/>
        </w:rPr>
        <w:t xml:space="preserve">”. </w:t>
      </w:r>
    </w:p>
    <w:p>
      <w:pPr>
        <w:pStyle w:val="Normal"/>
        <w:spacing w:lineRule="auto" w:line="276"/>
        <w:jc w:val="both"/>
        <w:rPr>
          <w:sz w:val="24"/>
          <w:szCs w:val="24"/>
        </w:rPr>
      </w:pPr>
      <w:r>
        <w:rPr>
          <w:sz w:val="24"/>
          <w:szCs w:val="24"/>
        </w:rPr>
      </w:r>
    </w:p>
    <w:p>
      <w:pPr>
        <w:pStyle w:val="Normal"/>
        <w:pBdr>
          <w:top w:val="single" w:sz="4" w:space="1" w:color="000000"/>
          <w:left w:val="single" w:sz="4" w:space="4" w:color="000000"/>
          <w:bottom w:val="single" w:sz="4" w:space="1" w:color="000000"/>
          <w:right w:val="single" w:sz="4" w:space="4" w:color="000000"/>
        </w:pBdr>
        <w:shd w:val="clear" w:color="auto" w:fill="A6A6A6" w:themeFill="background1" w:themeFillShade="a6"/>
        <w:spacing w:lineRule="auto" w:line="276"/>
        <w:jc w:val="both"/>
        <w:rPr>
          <w:bCs/>
          <w:sz w:val="24"/>
          <w:szCs w:val="24"/>
          <w:lang w:bidi="pt-PT"/>
        </w:rPr>
      </w:pPr>
      <w:r>
        <w:rPr>
          <w:b/>
          <w:bCs/>
          <w:sz w:val="24"/>
          <w:szCs w:val="24"/>
        </w:rPr>
        <w:t>2. JUSTIFICATIVA DA CONTRATAÇÃO</w:t>
      </w:r>
    </w:p>
    <w:p>
      <w:pPr>
        <w:pStyle w:val="Normal"/>
        <w:spacing w:lineRule="auto" w:line="360"/>
        <w:jc w:val="both"/>
        <w:rPr/>
      </w:pPr>
      <w:bookmarkStart w:id="4" w:name="_Hlk156461582"/>
      <w:r>
        <w:rPr>
          <w:sz w:val="24"/>
          <w:szCs w:val="24"/>
        </w:rPr>
        <w:t xml:space="preserve">2.1 </w:t>
      </w:r>
      <w:bookmarkStart w:id="5" w:name="_Hlk156467196"/>
      <w:r>
        <w:rPr>
          <w:color w:val="000000"/>
          <w:sz w:val="24"/>
          <w:szCs w:val="24"/>
        </w:rPr>
        <w:t>Considerando o processo administrativo 00001/2023 que originou o Contrato nº 11/2023 firmado com a empresa AGNUS TOUR VIAGEM E TURIMOS LTDA teve o saldo de passagens aérea e rodoviárias exaurido e o Conselho Regional de Odontologia ainda necessidade de passagens para realizar a programa do CRO na estrada e ainda realizar as reuniões institucionais em Brasília no CFO</w:t>
      </w:r>
      <w:bookmarkEnd w:id="5"/>
      <w:r>
        <w:rPr>
          <w:color w:val="000000"/>
          <w:sz w:val="24"/>
          <w:szCs w:val="24"/>
        </w:rPr>
        <w:t>.</w:t>
      </w:r>
    </w:p>
    <w:p>
      <w:pPr>
        <w:pStyle w:val="Normal"/>
        <w:spacing w:lineRule="auto" w:line="360"/>
        <w:jc w:val="both"/>
        <w:rPr>
          <w:sz w:val="24"/>
          <w:szCs w:val="24"/>
        </w:rPr>
      </w:pPr>
      <w:r>
        <w:rPr>
          <w:sz w:val="24"/>
          <w:szCs w:val="24"/>
        </w:rPr>
      </w:r>
    </w:p>
    <w:p>
      <w:pPr>
        <w:pStyle w:val="Normal"/>
        <w:spacing w:lineRule="auto" w:line="360"/>
        <w:jc w:val="both"/>
        <w:rPr/>
      </w:pPr>
      <w:r>
        <w:rPr>
          <w:color w:val="000000"/>
          <w:sz w:val="24"/>
          <w:szCs w:val="24"/>
        </w:rPr>
        <w:t xml:space="preserve">2.2 </w:t>
      </w:r>
      <w:bookmarkStart w:id="6" w:name="_Hlk156467204"/>
      <w:r>
        <w:rPr>
          <w:color w:val="000000"/>
          <w:sz w:val="24"/>
          <w:szCs w:val="24"/>
        </w:rPr>
        <w:t>A contratação de prestação de serviços de emissão de passagens aérea e rodoviárias podem ser justificadas por várias razões, especialmente se uma organização ou empresa precisa viajar com frequência. Abaixo estão algumas justificativas comuns para considerar a contratação de um serviço especializado para emissão de passagens aérea e rodoviárias:</w:t>
      </w:r>
    </w:p>
    <w:p>
      <w:pPr>
        <w:pStyle w:val="BodyText"/>
        <w:tabs>
          <w:tab w:val="clear" w:pos="708"/>
          <w:tab w:val="left" w:pos="7730" w:leader="none"/>
        </w:tabs>
        <w:spacing w:lineRule="auto" w:line="360"/>
        <w:ind w:left="420"/>
        <w:jc w:val="both"/>
        <w:rPr/>
      </w:pPr>
      <w:bookmarkEnd w:id="6"/>
      <w:r>
        <w:rPr>
          <w:rStyle w:val="Strong"/>
          <w:sz w:val="24"/>
          <w:szCs w:val="24"/>
        </w:rPr>
        <w:t>Especialização e Conhecimento</w:t>
      </w:r>
      <w:r>
        <w:rPr>
          <w:sz w:val="24"/>
          <w:szCs w:val="24"/>
        </w:rPr>
        <w:t>: Agências de viagens especializadas têm conhecimento aprofundado sobre companhias aérea e rodoviárias, rotas, tarifas e regulamentos. Eles podem ajudar a encontrar as melhores opções de voos para atender às necessidades específicas da empresa.</w:t>
      </w:r>
    </w:p>
    <w:p>
      <w:pPr>
        <w:pStyle w:val="BodyText"/>
        <w:spacing w:lineRule="auto" w:line="360"/>
        <w:ind w:left="420"/>
        <w:jc w:val="both"/>
        <w:rPr/>
      </w:pPr>
      <w:r>
        <w:rPr>
          <w:rStyle w:val="Strong"/>
          <w:sz w:val="24"/>
          <w:szCs w:val="24"/>
        </w:rPr>
        <w:t>Economia de Tempo e Recursos</w:t>
      </w:r>
      <w:r>
        <w:rPr>
          <w:sz w:val="24"/>
          <w:szCs w:val="24"/>
        </w:rPr>
        <w:t>: A equipe da empresa pode se concentrar em suas atividades principais, enquanto a agência de viagens cuida de todo o processo de reserva. Isso economiza tempo e recursos internos, permitindo que os funcionários se concentrem em tarefas mais estratégicas.</w:t>
      </w:r>
    </w:p>
    <w:p>
      <w:pPr>
        <w:pStyle w:val="BodyText"/>
        <w:spacing w:lineRule="auto" w:line="360"/>
        <w:ind w:left="420"/>
        <w:jc w:val="both"/>
        <w:rPr/>
      </w:pPr>
      <w:r>
        <w:rPr>
          <w:rStyle w:val="Strong"/>
          <w:sz w:val="24"/>
          <w:szCs w:val="24"/>
        </w:rPr>
        <w:t>Negociação de Tarifas e Benefícios</w:t>
      </w:r>
      <w:r>
        <w:rPr>
          <w:sz w:val="24"/>
          <w:szCs w:val="24"/>
        </w:rPr>
        <w:t>: Agências de viagens muitas vezes têm relacionamentos estabelecidos com companhias aéreas e rodoviárias, o que pode resultar em tarifas preferenciais, descontos ou benefícios extras para a empresa contratante. Eles têm habilidades para negociar contratos vantajosos em nome de seus clientes.</w:t>
      </w:r>
    </w:p>
    <w:p>
      <w:pPr>
        <w:pStyle w:val="BodyText"/>
        <w:spacing w:lineRule="auto" w:line="360"/>
        <w:ind w:left="420"/>
        <w:jc w:val="both"/>
        <w:rPr/>
      </w:pPr>
      <w:r>
        <w:rPr>
          <w:rStyle w:val="Strong"/>
          <w:sz w:val="24"/>
          <w:szCs w:val="24"/>
        </w:rPr>
        <w:t>Suporte 24/7</w:t>
      </w:r>
      <w:r>
        <w:rPr>
          <w:sz w:val="24"/>
          <w:szCs w:val="24"/>
        </w:rPr>
        <w:t>: Agências de viagens frequentemente oferecem suporte 24/7, o que é crucial em situações de emergência ou para resolver problemas de viagem de última hora. Ter um parceiro confiável disponível a qualquer momento pode ser inestimável.</w:t>
      </w:r>
    </w:p>
    <w:p>
      <w:pPr>
        <w:pStyle w:val="BodyText"/>
        <w:spacing w:lineRule="auto" w:line="360"/>
        <w:ind w:left="420"/>
        <w:jc w:val="both"/>
        <w:rPr/>
      </w:pPr>
      <w:r>
        <w:rPr>
          <w:rStyle w:val="Strong"/>
          <w:sz w:val="24"/>
          <w:szCs w:val="24"/>
        </w:rPr>
        <w:t>Gerenciamento de Relatórios e Despesas</w:t>
      </w:r>
      <w:r>
        <w:rPr>
          <w:sz w:val="24"/>
          <w:szCs w:val="24"/>
        </w:rPr>
        <w:t>: Muitas agências de viagens fornecem ferramentas e relatórios personalizados para ajudar as empresas a rastrear despesas de viagem, facilitando o controle e a análise dos custos relacionados a viagens corporativas.</w:t>
      </w:r>
    </w:p>
    <w:p>
      <w:pPr>
        <w:pStyle w:val="BodyText"/>
        <w:spacing w:lineRule="auto" w:line="360"/>
        <w:ind w:left="420"/>
        <w:jc w:val="both"/>
        <w:rPr/>
      </w:pPr>
      <w:r>
        <w:rPr>
          <w:rStyle w:val="Strong"/>
          <w:sz w:val="24"/>
          <w:szCs w:val="24"/>
        </w:rPr>
        <w:t>Atendimento Personalizado</w:t>
      </w:r>
      <w:r>
        <w:rPr>
          <w:sz w:val="24"/>
          <w:szCs w:val="24"/>
        </w:rPr>
        <w:t>: Agências de viagens podem oferecer um atendimento personalizado, entendendo as necessidades específicas da empresa e adaptando suas sugestões de viagem de acordo. Isso pode incluir preferências de horários, companhias aéreas e rodoviárias específicas ou requisitos alimentares especiais.</w:t>
      </w:r>
    </w:p>
    <w:p>
      <w:pPr>
        <w:pStyle w:val="BodyText"/>
        <w:spacing w:lineRule="auto" w:line="360"/>
        <w:ind w:left="420"/>
        <w:jc w:val="both"/>
        <w:rPr/>
      </w:pPr>
      <w:r>
        <w:rPr>
          <w:rStyle w:val="Strong"/>
          <w:sz w:val="24"/>
          <w:szCs w:val="24"/>
        </w:rPr>
        <w:t>Conformidade com Políticas e Regulamentações</w:t>
      </w:r>
      <w:r>
        <w:rPr>
          <w:sz w:val="24"/>
          <w:szCs w:val="24"/>
        </w:rPr>
        <w:t>: Agências de viagens podem garantir que as reservas estejam em conformidade com as políticas internas da empresa, bem como com as regulamentações de viagens internacionais, minimizando o risco de problemas legais ou administrativos.</w:t>
      </w:r>
    </w:p>
    <w:p>
      <w:pPr>
        <w:pStyle w:val="BodyText"/>
        <w:spacing w:lineRule="auto" w:line="360"/>
        <w:ind w:left="420"/>
        <w:jc w:val="both"/>
        <w:rPr/>
      </w:pPr>
      <w:r>
        <w:rPr>
          <w:rStyle w:val="Strong"/>
          <w:sz w:val="24"/>
          <w:szCs w:val="24"/>
        </w:rPr>
        <w:t>Acesso a Tecnologia e Ferramentas Avançadas</w:t>
      </w:r>
      <w:r>
        <w:rPr>
          <w:sz w:val="24"/>
          <w:szCs w:val="24"/>
        </w:rPr>
        <w:t>: Agências de viagens geralmente têm acesso a sistemas de reservas avançados e tecnologia que podem ajudar na busca por melhores opções de voos, tarifas e itinerários, garantindo assim uma experiência de viagem mais eficiente e conveniente.</w:t>
      </w:r>
    </w:p>
    <w:p>
      <w:pPr>
        <w:pStyle w:val="Normal"/>
        <w:spacing w:lineRule="auto" w:line="360"/>
        <w:ind w:right="-850"/>
        <w:jc w:val="both"/>
        <w:rPr>
          <w:sz w:val="24"/>
          <w:szCs w:val="24"/>
        </w:rPr>
      </w:pPr>
      <w:bookmarkStart w:id="7" w:name="_Hlk156467229"/>
      <w:r>
        <w:rPr>
          <w:color w:val="000000"/>
          <w:sz w:val="24"/>
          <w:szCs w:val="24"/>
        </w:rPr>
        <w:t>2.3 Diante do exposto justifica-se a contratação da empresa para a emissão de passagens aérea e rodoviárias</w:t>
      </w:r>
      <w:bookmarkEnd w:id="7"/>
      <w:r>
        <w:rPr>
          <w:color w:val="000000"/>
          <w:sz w:val="24"/>
          <w:szCs w:val="24"/>
        </w:rPr>
        <w:t>.</w:t>
      </w:r>
    </w:p>
    <w:p>
      <w:pPr>
        <w:pStyle w:val="Normal"/>
        <w:pBdr>
          <w:top w:val="single" w:sz="4" w:space="1" w:color="000000"/>
          <w:left w:val="single" w:sz="4" w:space="4" w:color="000000"/>
          <w:bottom w:val="single" w:sz="4" w:space="1" w:color="000000"/>
          <w:right w:val="single" w:sz="4" w:space="4" w:color="000000"/>
        </w:pBdr>
        <w:shd w:val="clear" w:color="auto" w:fill="A6A6A6" w:themeFill="background1" w:themeFillShade="a6"/>
        <w:spacing w:lineRule="auto" w:line="276"/>
        <w:jc w:val="both"/>
        <w:rPr>
          <w:b/>
          <w:sz w:val="24"/>
          <w:szCs w:val="24"/>
        </w:rPr>
      </w:pPr>
      <w:r>
        <w:rPr>
          <w:b/>
          <w:sz w:val="24"/>
          <w:szCs w:val="24"/>
        </w:rPr>
        <w:t xml:space="preserve">3. DA </w:t>
      </w:r>
      <w:r>
        <w:rPr>
          <w:b/>
          <w:bCs/>
          <w:sz w:val="24"/>
          <w:szCs w:val="24"/>
        </w:rPr>
        <w:t>FUNDAMENTAÇÃO</w:t>
      </w:r>
    </w:p>
    <w:p>
      <w:pPr>
        <w:pStyle w:val="Normal"/>
        <w:widowControl w:val="false"/>
        <w:tabs>
          <w:tab w:val="clear" w:pos="708"/>
          <w:tab w:val="left" w:pos="567" w:leader="none"/>
        </w:tabs>
        <w:spacing w:lineRule="auto" w:line="276"/>
        <w:ind w:right="-23"/>
        <w:jc w:val="both"/>
        <w:rPr>
          <w:sz w:val="24"/>
          <w:szCs w:val="24"/>
        </w:rPr>
      </w:pPr>
      <w:bookmarkStart w:id="8" w:name="_Hlk156465454"/>
      <w:r>
        <w:rPr>
          <w:sz w:val="24"/>
          <w:szCs w:val="24"/>
        </w:rPr>
        <w:t xml:space="preserve">3.1. </w:t>
      </w:r>
      <w:bookmarkStart w:id="9" w:name="_Hlk156467251"/>
      <w:r>
        <w:rPr>
          <w:sz w:val="24"/>
          <w:szCs w:val="24"/>
        </w:rPr>
        <w:t>Este processo é regido pela Lei nº 14.133/21, IN nº 05/2022, IN nº 03/2015, Decreto nº 2.809/1998 e suas alterações em que faz a regulação dos pregões</w:t>
      </w:r>
      <w:bookmarkEnd w:id="9"/>
      <w:r>
        <w:rPr>
          <w:sz w:val="24"/>
          <w:szCs w:val="24"/>
        </w:rPr>
        <w:t xml:space="preserve">.  </w:t>
      </w:r>
    </w:p>
    <w:p>
      <w:pPr>
        <w:pStyle w:val="Normal"/>
        <w:ind w:firstLine="426"/>
        <w:jc w:val="both"/>
        <w:rPr>
          <w:sz w:val="24"/>
          <w:szCs w:val="24"/>
        </w:rPr>
      </w:pPr>
      <w:r>
        <w:rPr>
          <w:sz w:val="24"/>
          <w:szCs w:val="24"/>
        </w:rPr>
        <w:t xml:space="preserve">3.1.1. contratação </w:t>
      </w:r>
      <w:bookmarkStart w:id="10" w:name="_Hlk156467268"/>
      <w:r>
        <w:rPr>
          <w:sz w:val="24"/>
          <w:szCs w:val="24"/>
        </w:rPr>
        <w:t>de pessoa jurídica especializada na prestação de serviços atividade ou conjunto de</w:t>
      </w:r>
    </w:p>
    <w:p>
      <w:pPr>
        <w:pStyle w:val="Normal"/>
        <w:ind w:firstLine="426"/>
        <w:jc w:val="both"/>
        <w:rPr>
          <w:sz w:val="24"/>
          <w:szCs w:val="24"/>
        </w:rPr>
      </w:pPr>
      <w:r>
        <w:rPr>
          <w:sz w:val="24"/>
          <w:szCs w:val="24"/>
        </w:rPr>
        <w:t>atividades destinadas a obter determinada utilidade, intelectual ou material, de interesse da Administração encontra amparo no art. 6º, inciso XI, da Lei nº 14.133/2021, tendo sido disciplinada pela Instrução Normativa n° Nº 3, de 11 de fevereiro de 2015, regula os procedimentos para aquisição de passagens aéreas nacionais e internacionais e serviços correlatos, bem como os procedimentos administrativos internos para emissão de bilhetes de passagens aéreas a serviço pela Administração Pública Federal direta, autárquica e fundacional, por ser considerado serviço auxiliar, necessário à Administração para o desempenho de suas atribuições, cuja interrupção pode comprometer a continuidade de suas atividades.</w:t>
      </w:r>
      <w:bookmarkEnd w:id="10"/>
    </w:p>
    <w:p>
      <w:pPr>
        <w:pStyle w:val="Normal"/>
        <w:widowControl w:val="false"/>
        <w:tabs>
          <w:tab w:val="clear" w:pos="708"/>
          <w:tab w:val="left" w:pos="567" w:leader="none"/>
        </w:tabs>
        <w:spacing w:lineRule="auto" w:line="276"/>
        <w:ind w:right="-23"/>
        <w:jc w:val="both"/>
        <w:rPr>
          <w:sz w:val="24"/>
          <w:szCs w:val="24"/>
        </w:rPr>
      </w:pPr>
      <w:r>
        <w:rPr>
          <w:sz w:val="24"/>
          <w:szCs w:val="24"/>
        </w:rPr>
      </w:r>
    </w:p>
    <w:p>
      <w:pPr>
        <w:pStyle w:val="Normal"/>
        <w:widowControl w:val="false"/>
        <w:tabs>
          <w:tab w:val="clear" w:pos="708"/>
          <w:tab w:val="left" w:pos="567" w:leader="none"/>
        </w:tabs>
        <w:spacing w:lineRule="auto" w:line="276"/>
        <w:ind w:right="-23"/>
        <w:jc w:val="both"/>
        <w:rPr>
          <w:sz w:val="24"/>
          <w:szCs w:val="24"/>
        </w:rPr>
      </w:pPr>
      <w:r>
        <w:rPr>
          <w:sz w:val="24"/>
          <w:szCs w:val="24"/>
        </w:rPr>
        <w:t>3.2 Da Justificativa da Modalidade:</w:t>
      </w:r>
    </w:p>
    <w:p>
      <w:pPr>
        <w:pStyle w:val="Normal"/>
        <w:ind w:firstLine="284"/>
        <w:jc w:val="both"/>
        <w:rPr>
          <w:rFonts w:eastAsia="Calibri" w:eastAsiaTheme="minorHAnsi"/>
          <w:sz w:val="24"/>
          <w:szCs w:val="24"/>
          <w:lang w:eastAsia="en-US"/>
        </w:rPr>
      </w:pPr>
      <w:r>
        <w:rPr>
          <w:rFonts w:eastAsia="Calibri" w:eastAsiaTheme="minorHAnsi"/>
          <w:sz w:val="24"/>
          <w:szCs w:val="24"/>
          <w:lang w:eastAsia="en-US"/>
        </w:rPr>
        <w:t>3.2.1 No tocante à escolha da modalidade pregão, os fundamentos estão assentados em dois fatores:</w:t>
      </w:r>
    </w:p>
    <w:p>
      <w:pPr>
        <w:pStyle w:val="Normal"/>
        <w:rPr>
          <w:rFonts w:eastAsia="Calibri" w:eastAsiaTheme="minorHAnsi"/>
          <w:sz w:val="24"/>
          <w:szCs w:val="24"/>
          <w:lang w:eastAsia="en-US"/>
        </w:rPr>
      </w:pPr>
      <w:r>
        <w:rPr>
          <w:rFonts w:eastAsia="Calibri" w:eastAsiaTheme="minorHAnsi"/>
          <w:sz w:val="24"/>
          <w:szCs w:val="24"/>
          <w:lang w:eastAsia="en-US"/>
        </w:rPr>
        <w:t>1º) Possibilidade jurídica de caracterização do objeto da licitação como serviço comum, nos termos da Lei 14.133/21;</w:t>
      </w:r>
    </w:p>
    <w:p>
      <w:pPr>
        <w:pStyle w:val="Normal"/>
        <w:ind w:firstLine="284"/>
        <w:jc w:val="both"/>
        <w:rPr>
          <w:rFonts w:eastAsia="Calibri" w:eastAsiaTheme="minorHAnsi"/>
          <w:sz w:val="24"/>
          <w:szCs w:val="24"/>
          <w:lang w:eastAsia="en-US"/>
        </w:rPr>
      </w:pPr>
      <w:r>
        <w:rPr>
          <w:rFonts w:eastAsia="Calibri" w:eastAsiaTheme="minorHAnsi"/>
          <w:sz w:val="24"/>
          <w:szCs w:val="24"/>
          <w:lang w:eastAsia="en-US"/>
        </w:rPr>
        <w:t>2º) Necessidade de contratação pelo fornecimento dos produtos, dentro dos parâmetros objetivos estabelecidos pelo Termo de Referência e Edital de Licitação. Atendidos esses dois pressupostos será cabível a modalidade pregão.</w:t>
      </w:r>
    </w:p>
    <w:p>
      <w:pPr>
        <w:pStyle w:val="Normal"/>
        <w:ind w:firstLine="284"/>
        <w:jc w:val="both"/>
        <w:rPr>
          <w:rFonts w:eastAsia="Calibri" w:eastAsiaTheme="minorHAnsi"/>
          <w:sz w:val="24"/>
          <w:szCs w:val="24"/>
          <w:lang w:eastAsia="en-US"/>
        </w:rPr>
      </w:pPr>
      <w:r>
        <w:rPr>
          <w:rFonts w:eastAsia="Calibri" w:eastAsiaTheme="minorHAnsi"/>
          <w:sz w:val="24"/>
          <w:szCs w:val="24"/>
          <w:lang w:eastAsia="en-US"/>
        </w:rPr>
        <w:t>3.2.2 Por sua vez o art. 6º, inciso XIII da Lei nº 14.133/2021 traz em seu bojo a definição do que se considera serem bens e serviços comuns:</w:t>
      </w:r>
    </w:p>
    <w:p>
      <w:pPr>
        <w:pStyle w:val="Normal"/>
        <w:jc w:val="both"/>
        <w:rPr>
          <w:rFonts w:eastAsia="Calibri" w:eastAsiaTheme="minorHAnsi"/>
          <w:sz w:val="24"/>
          <w:szCs w:val="24"/>
          <w:lang w:eastAsia="en-US"/>
        </w:rPr>
      </w:pPr>
      <w:bookmarkStart w:id="11" w:name="_Hlk156467352"/>
      <w:r>
        <w:rPr>
          <w:rFonts w:eastAsia="Calibri" w:eastAsiaTheme="minorHAnsi"/>
          <w:sz w:val="24"/>
          <w:szCs w:val="24"/>
          <w:lang w:eastAsia="en-US"/>
        </w:rPr>
        <w:t>XIII - bens e serviços comuns: aqueles cujos padrões de desempenho e qualidade podem ser objetivamente definidos pelo edital, por meio de especificações usuais de mercado</w:t>
      </w:r>
      <w:bookmarkEnd w:id="11"/>
      <w:r>
        <w:rPr>
          <w:rFonts w:eastAsia="Calibri" w:eastAsiaTheme="minorHAnsi"/>
          <w:sz w:val="24"/>
          <w:szCs w:val="24"/>
          <w:lang w:eastAsia="en-US"/>
        </w:rPr>
        <w:t>.</w:t>
      </w:r>
    </w:p>
    <w:p>
      <w:pPr>
        <w:pStyle w:val="Normal"/>
        <w:ind w:firstLine="284"/>
        <w:jc w:val="both"/>
        <w:rPr>
          <w:rFonts w:eastAsia="Calibri" w:eastAsiaTheme="minorHAnsi"/>
          <w:sz w:val="24"/>
          <w:szCs w:val="24"/>
          <w:lang w:eastAsia="en-US"/>
        </w:rPr>
      </w:pPr>
      <w:r>
        <w:rPr>
          <w:rFonts w:eastAsia="Calibri" w:eastAsiaTheme="minorHAnsi"/>
          <w:sz w:val="24"/>
          <w:szCs w:val="24"/>
          <w:lang w:eastAsia="en-US"/>
        </w:rPr>
        <w:t xml:space="preserve">3.2.3 </w:t>
      </w:r>
      <w:bookmarkStart w:id="12" w:name="_Hlk156467373"/>
      <w:r>
        <w:rPr>
          <w:rFonts w:eastAsia="Calibri" w:eastAsiaTheme="minorHAnsi"/>
          <w:sz w:val="24"/>
          <w:szCs w:val="24"/>
          <w:lang w:eastAsia="en-US"/>
        </w:rPr>
        <w:t>Depreende-se então que, independentemente do valor estimado da contratação, caso o bem ou serviço possa ser enquadrado na definição de “comum” e o critério de julgamento seja o menor preço global, a modalidade licitatória a ser adotada será o pregão, na sua forma eletrônica</w:t>
      </w:r>
      <w:bookmarkEnd w:id="8"/>
      <w:bookmarkEnd w:id="12"/>
      <w:r>
        <w:rPr>
          <w:rFonts w:eastAsia="Calibri" w:eastAsiaTheme="minorHAnsi"/>
          <w:sz w:val="24"/>
          <w:szCs w:val="24"/>
          <w:lang w:eastAsia="en-US"/>
        </w:rPr>
        <w:t>.</w:t>
      </w:r>
      <w:bookmarkEnd w:id="4"/>
    </w:p>
    <w:p>
      <w:pPr>
        <w:pStyle w:val="Normal"/>
        <w:pBdr>
          <w:top w:val="single" w:sz="4" w:space="1" w:color="000000"/>
          <w:left w:val="single" w:sz="4" w:space="4" w:color="000000"/>
          <w:bottom w:val="single" w:sz="4" w:space="1" w:color="000000"/>
          <w:right w:val="single" w:sz="4" w:space="4" w:color="000000"/>
        </w:pBdr>
        <w:shd w:val="clear" w:color="auto" w:fill="A6A6A6" w:themeFill="background1" w:themeFillShade="a6"/>
        <w:spacing w:lineRule="auto" w:line="276"/>
        <w:jc w:val="both"/>
        <w:rPr>
          <w:sz w:val="24"/>
          <w:szCs w:val="24"/>
        </w:rPr>
      </w:pPr>
      <w:r>
        <w:rPr>
          <w:b/>
          <w:bCs/>
          <w:sz w:val="24"/>
          <w:szCs w:val="24"/>
        </w:rPr>
        <w:t>4. DOTAÇÃO ORÇAMENTÁRIA</w:t>
      </w:r>
    </w:p>
    <w:p>
      <w:pPr>
        <w:pStyle w:val="Normal"/>
        <w:spacing w:lineRule="auto" w:line="276"/>
        <w:jc w:val="both"/>
        <w:rPr>
          <w:rFonts w:ascii="Arial" w:hAnsi="Arial" w:cs="Arial"/>
          <w:color w:val="000000"/>
          <w:sz w:val="21"/>
          <w:szCs w:val="21"/>
          <w:shd w:fill="FFFFFF" w:val="clear"/>
        </w:rPr>
      </w:pPr>
      <w:r>
        <w:rPr>
          <w:sz w:val="24"/>
          <w:szCs w:val="24"/>
        </w:rPr>
        <w:t>4.1. As despesas financeiras oriundas da contratação dos serviços que a seguir se especifica correrão por conta de dotação orçamentária própria, do exercício de 2024, conforme abaixo identificado:</w:t>
      </w:r>
      <w:r>
        <w:rPr>
          <w:rFonts w:cs="Arial" w:ascii="Arial" w:hAnsi="Arial"/>
          <w:color w:val="000000"/>
          <w:sz w:val="21"/>
          <w:szCs w:val="21"/>
          <w:shd w:fill="FFFFFF" w:val="clear"/>
        </w:rPr>
        <w:t xml:space="preserve"> </w:t>
      </w:r>
    </w:p>
    <w:p>
      <w:pPr>
        <w:pStyle w:val="Normal"/>
        <w:spacing w:lineRule="auto" w:line="276"/>
        <w:jc w:val="both"/>
        <w:rPr>
          <w:b/>
          <w:bCs/>
          <w:color w:val="000000"/>
          <w:sz w:val="24"/>
          <w:szCs w:val="24"/>
          <w:shd w:fill="FFFFFF" w:val="clear"/>
        </w:rPr>
      </w:pPr>
      <w:r>
        <w:rPr>
          <w:b/>
          <w:bCs/>
          <w:color w:val="000000"/>
          <w:sz w:val="24"/>
          <w:szCs w:val="24"/>
          <w:shd w:fill="FFFFFF" w:val="clear"/>
        </w:rPr>
        <w:t>Dotação Orçamentária: 6.2.2.1.1.01.04.05.001 - Passagens Aéreas, Terrestres</w:t>
      </w:r>
    </w:p>
    <w:p>
      <w:pPr>
        <w:pStyle w:val="Normal"/>
        <w:spacing w:lineRule="auto" w:line="276"/>
        <w:jc w:val="both"/>
        <w:rPr>
          <w:b/>
          <w:bCs/>
          <w:color w:val="000000"/>
          <w:sz w:val="24"/>
          <w:szCs w:val="24"/>
          <w:shd w:fill="FFFFFF" w:val="clear"/>
        </w:rPr>
      </w:pPr>
      <w:r>
        <w:rPr>
          <w:b/>
          <w:bCs/>
          <w:color w:val="000000"/>
          <w:sz w:val="24"/>
          <w:szCs w:val="24"/>
          <w:shd w:fill="FFFFFF" w:val="clear"/>
        </w:rPr>
        <w:t>Centro de Custo:</w:t>
      </w:r>
    </w:p>
    <w:p>
      <w:pPr>
        <w:pStyle w:val="Normal"/>
        <w:spacing w:lineRule="auto" w:line="276"/>
        <w:jc w:val="both"/>
        <w:rPr>
          <w:b/>
          <w:bCs/>
          <w:color w:val="000000"/>
          <w:sz w:val="24"/>
          <w:szCs w:val="24"/>
          <w:shd w:fill="FFFFFF" w:val="clear"/>
        </w:rPr>
      </w:pPr>
      <w:r>
        <w:rPr>
          <w:b/>
          <w:bCs/>
          <w:color w:val="000000"/>
          <w:sz w:val="24"/>
          <w:szCs w:val="24"/>
          <w:shd w:fill="FFFFFF" w:val="clear"/>
        </w:rPr>
        <w:t>1 - 01.03.003</w:t>
      </w:r>
    </w:p>
    <w:p>
      <w:pPr>
        <w:pStyle w:val="Normal"/>
        <w:spacing w:lineRule="auto" w:line="276"/>
        <w:jc w:val="both"/>
        <w:rPr>
          <w:b/>
          <w:bCs/>
          <w:color w:val="000000"/>
          <w:sz w:val="24"/>
          <w:szCs w:val="24"/>
          <w:shd w:fill="FFFFFF" w:val="clear"/>
        </w:rPr>
      </w:pPr>
      <w:r>
        <w:rPr>
          <w:b/>
          <w:bCs/>
          <w:color w:val="000000"/>
          <w:sz w:val="24"/>
          <w:szCs w:val="24"/>
          <w:shd w:fill="FFFFFF" w:val="clear"/>
        </w:rPr>
        <w:t>2 - 02.04.001</w:t>
      </w:r>
    </w:p>
    <w:p>
      <w:pPr>
        <w:pStyle w:val="Normal"/>
        <w:spacing w:lineRule="auto" w:line="276"/>
        <w:jc w:val="both"/>
        <w:rPr>
          <w:b/>
          <w:bCs/>
          <w:color w:val="000000"/>
          <w:sz w:val="24"/>
          <w:szCs w:val="24"/>
          <w:shd w:fill="FFFFFF" w:val="clear"/>
        </w:rPr>
      </w:pPr>
      <w:r>
        <w:rPr>
          <w:b/>
          <w:bCs/>
          <w:color w:val="000000"/>
          <w:sz w:val="24"/>
          <w:szCs w:val="24"/>
          <w:shd w:fill="FFFFFF" w:val="clear"/>
        </w:rPr>
        <w:t>3 - 01.01.001</w:t>
      </w:r>
    </w:p>
    <w:p>
      <w:pPr>
        <w:pStyle w:val="Normal"/>
        <w:spacing w:lineRule="auto" w:line="276"/>
        <w:jc w:val="both"/>
        <w:rPr>
          <w:b/>
          <w:bCs/>
          <w:color w:val="000000"/>
          <w:sz w:val="24"/>
          <w:szCs w:val="24"/>
          <w:shd w:fill="FFFFFF" w:val="clear"/>
        </w:rPr>
      </w:pPr>
      <w:r>
        <w:rPr>
          <w:b/>
          <w:bCs/>
          <w:color w:val="000000"/>
          <w:sz w:val="24"/>
          <w:szCs w:val="24"/>
          <w:shd w:fill="FFFFFF" w:val="clear"/>
        </w:rPr>
        <w:t>4 - 01.01.006</w:t>
      </w:r>
    </w:p>
    <w:p>
      <w:pPr>
        <w:pStyle w:val="Normal"/>
        <w:spacing w:lineRule="auto" w:line="276"/>
        <w:jc w:val="both"/>
        <w:rPr>
          <w:b/>
          <w:bCs/>
          <w:color w:val="000000"/>
          <w:sz w:val="24"/>
          <w:szCs w:val="24"/>
          <w:shd w:fill="FFFFFF" w:val="clear"/>
        </w:rPr>
      </w:pPr>
      <w:r>
        <w:rPr>
          <w:b/>
          <w:bCs/>
          <w:color w:val="000000"/>
          <w:sz w:val="24"/>
          <w:szCs w:val="24"/>
          <w:shd w:fill="FFFFFF" w:val="clear"/>
        </w:rPr>
        <w:t>5 - 01.01.005</w:t>
      </w:r>
    </w:p>
    <w:p>
      <w:pPr>
        <w:pStyle w:val="Normal"/>
        <w:spacing w:lineRule="auto" w:line="276"/>
        <w:jc w:val="both"/>
        <w:rPr>
          <w:b/>
          <w:bCs/>
          <w:color w:val="000000"/>
          <w:sz w:val="24"/>
          <w:szCs w:val="24"/>
          <w:shd w:fill="FFFFFF" w:val="clear"/>
        </w:rPr>
      </w:pPr>
      <w:r>
        <w:rPr>
          <w:b/>
          <w:bCs/>
          <w:color w:val="000000"/>
          <w:sz w:val="24"/>
          <w:szCs w:val="24"/>
          <w:shd w:fill="FFFFFF" w:val="clear"/>
        </w:rPr>
        <w:t>6 - 02.04.002</w:t>
      </w:r>
    </w:p>
    <w:p>
      <w:pPr>
        <w:pStyle w:val="Normal"/>
        <w:spacing w:lineRule="auto" w:line="276"/>
        <w:jc w:val="both"/>
        <w:rPr>
          <w:b/>
          <w:bCs/>
          <w:color w:val="000000"/>
          <w:sz w:val="24"/>
          <w:szCs w:val="24"/>
          <w:shd w:fill="FFFFFF" w:val="clear"/>
        </w:rPr>
      </w:pPr>
      <w:r>
        <w:rPr>
          <w:b/>
          <w:bCs/>
          <w:color w:val="000000"/>
          <w:sz w:val="24"/>
          <w:szCs w:val="24"/>
          <w:shd w:fill="FFFFFF" w:val="clear"/>
        </w:rPr>
        <w:t>7 - 01.01.004</w:t>
      </w:r>
    </w:p>
    <w:p>
      <w:pPr>
        <w:pStyle w:val="Normal"/>
        <w:spacing w:lineRule="auto" w:line="276"/>
        <w:jc w:val="both"/>
        <w:rPr>
          <w:b/>
          <w:bCs/>
          <w:color w:val="000000"/>
          <w:sz w:val="24"/>
          <w:szCs w:val="24"/>
          <w:shd w:fill="FFFFFF" w:val="clear"/>
        </w:rPr>
      </w:pPr>
      <w:r>
        <w:rPr>
          <w:b/>
          <w:bCs/>
          <w:color w:val="000000"/>
          <w:sz w:val="24"/>
          <w:szCs w:val="24"/>
          <w:shd w:fill="FFFFFF" w:val="clear"/>
        </w:rPr>
        <w:t>8 - 01.03.002</w:t>
      </w:r>
    </w:p>
    <w:p>
      <w:pPr>
        <w:pStyle w:val="Normal"/>
        <w:spacing w:lineRule="auto" w:line="276"/>
        <w:jc w:val="both"/>
        <w:rPr>
          <w:b/>
          <w:bCs/>
          <w:color w:val="000000"/>
          <w:sz w:val="24"/>
          <w:szCs w:val="24"/>
          <w:shd w:fill="FFFFFF" w:val="clear"/>
        </w:rPr>
      </w:pPr>
      <w:r>
        <w:rPr>
          <w:b/>
          <w:bCs/>
          <w:color w:val="000000"/>
          <w:sz w:val="24"/>
          <w:szCs w:val="24"/>
          <w:shd w:fill="FFFFFF" w:val="clear"/>
        </w:rPr>
        <w:t>9 - 01.03.006</w:t>
      </w:r>
    </w:p>
    <w:p>
      <w:pPr>
        <w:pStyle w:val="Normal"/>
        <w:spacing w:lineRule="auto" w:line="276"/>
        <w:jc w:val="both"/>
        <w:rPr>
          <w:b/>
          <w:bCs/>
          <w:color w:val="000000"/>
          <w:sz w:val="24"/>
          <w:szCs w:val="24"/>
          <w:shd w:fill="FFFFFF" w:val="clear"/>
        </w:rPr>
      </w:pPr>
      <w:r>
        <w:rPr>
          <w:b/>
          <w:bCs/>
          <w:color w:val="000000"/>
          <w:sz w:val="24"/>
          <w:szCs w:val="24"/>
          <w:shd w:fill="FFFFFF" w:val="clear"/>
        </w:rPr>
        <w:t>10 - 01.03.005</w:t>
      </w:r>
    </w:p>
    <w:p>
      <w:pPr>
        <w:pStyle w:val="Normal"/>
        <w:spacing w:lineRule="auto" w:line="276"/>
        <w:jc w:val="both"/>
        <w:rPr>
          <w:b/>
          <w:bCs/>
          <w:color w:val="000000"/>
          <w:sz w:val="24"/>
          <w:szCs w:val="24"/>
          <w:shd w:fill="FFFFFF" w:val="clear"/>
        </w:rPr>
      </w:pPr>
      <w:r>
        <w:rPr>
          <w:b/>
          <w:bCs/>
          <w:color w:val="000000"/>
          <w:sz w:val="24"/>
          <w:szCs w:val="24"/>
          <w:shd w:fill="FFFFFF" w:val="clear"/>
        </w:rPr>
        <w:t>11 - 01.03.004</w:t>
      </w:r>
    </w:p>
    <w:p>
      <w:pPr>
        <w:pStyle w:val="Normal"/>
        <w:spacing w:lineRule="auto" w:line="276"/>
        <w:jc w:val="both"/>
        <w:rPr>
          <w:b/>
          <w:bCs/>
          <w:color w:val="000000"/>
          <w:sz w:val="24"/>
          <w:szCs w:val="24"/>
          <w:shd w:fill="FFFFFF" w:val="clear"/>
        </w:rPr>
      </w:pPr>
      <w:r>
        <w:rPr>
          <w:b/>
          <w:bCs/>
          <w:color w:val="000000"/>
          <w:sz w:val="24"/>
          <w:szCs w:val="24"/>
          <w:shd w:fill="FFFFFF" w:val="clear"/>
        </w:rPr>
        <w:t>12 - 02.01.001</w:t>
      </w:r>
    </w:p>
    <w:p>
      <w:pPr>
        <w:pStyle w:val="Normal"/>
        <w:spacing w:lineRule="auto" w:line="276"/>
        <w:jc w:val="both"/>
        <w:rPr>
          <w:b/>
          <w:bCs/>
          <w:color w:val="000000"/>
          <w:sz w:val="24"/>
          <w:szCs w:val="24"/>
          <w:shd w:fill="FFFFFF" w:val="clear"/>
        </w:rPr>
      </w:pPr>
      <w:r>
        <w:rPr>
          <w:b/>
          <w:bCs/>
          <w:color w:val="000000"/>
          <w:sz w:val="24"/>
          <w:szCs w:val="24"/>
          <w:shd w:fill="FFFFFF" w:val="clear"/>
        </w:rPr>
        <w:t>13 – 01.01.002</w:t>
      </w:r>
    </w:p>
    <w:p>
      <w:pPr>
        <w:pStyle w:val="Normal"/>
        <w:spacing w:lineRule="auto" w:line="276"/>
        <w:jc w:val="both"/>
        <w:rPr>
          <w:b/>
          <w:bCs/>
          <w:color w:val="000000"/>
          <w:sz w:val="24"/>
          <w:szCs w:val="24"/>
          <w:shd w:fill="FFFFFF" w:val="clear"/>
        </w:rPr>
      </w:pPr>
      <w:r>
        <w:rPr>
          <w:b/>
          <w:bCs/>
          <w:color w:val="000000"/>
          <w:sz w:val="24"/>
          <w:szCs w:val="24"/>
          <w:shd w:fill="FFFFFF" w:val="clear"/>
        </w:rPr>
        <w:t>14 - 01.01.003</w:t>
      </w:r>
    </w:p>
    <w:p>
      <w:pPr>
        <w:pStyle w:val="Normal"/>
        <w:spacing w:lineRule="auto" w:line="276"/>
        <w:jc w:val="both"/>
        <w:rPr>
          <w:b/>
          <w:bCs/>
          <w:color w:val="000000"/>
          <w:sz w:val="24"/>
          <w:szCs w:val="24"/>
          <w:shd w:fill="FFFFFF" w:val="clear"/>
        </w:rPr>
      </w:pPr>
      <w:r>
        <w:rPr>
          <w:b/>
          <w:bCs/>
          <w:color w:val="000000"/>
          <w:sz w:val="24"/>
          <w:szCs w:val="24"/>
          <w:shd w:fill="FFFFFF" w:val="clear"/>
        </w:rPr>
        <w:t>Atividade ou Projeto:</w:t>
      </w:r>
    </w:p>
    <w:p>
      <w:pPr>
        <w:pStyle w:val="Normal"/>
        <w:spacing w:lineRule="auto" w:line="276"/>
        <w:jc w:val="both"/>
        <w:rPr>
          <w:b/>
          <w:bCs/>
          <w:color w:val="000000"/>
          <w:sz w:val="24"/>
          <w:szCs w:val="24"/>
          <w:shd w:fill="FFFFFF" w:val="clear"/>
        </w:rPr>
      </w:pPr>
      <w:r>
        <w:rPr>
          <w:b/>
          <w:bCs/>
          <w:color w:val="000000"/>
          <w:sz w:val="24"/>
          <w:szCs w:val="24"/>
          <w:shd w:fill="FFFFFF" w:val="clear"/>
        </w:rPr>
        <w:t>1 – Projeto – Participação em eventos ligados à Odontologia</w:t>
      </w:r>
    </w:p>
    <w:p>
      <w:pPr>
        <w:pStyle w:val="Normal"/>
        <w:spacing w:lineRule="auto" w:line="276"/>
        <w:jc w:val="both"/>
        <w:rPr>
          <w:b/>
          <w:bCs/>
          <w:color w:val="000000"/>
          <w:sz w:val="24"/>
          <w:szCs w:val="24"/>
          <w:shd w:fill="FFFFFF" w:val="clear"/>
        </w:rPr>
      </w:pPr>
      <w:r>
        <w:rPr>
          <w:b/>
          <w:bCs/>
          <w:color w:val="000000"/>
          <w:sz w:val="24"/>
          <w:szCs w:val="24"/>
          <w:shd w:fill="FFFFFF" w:val="clear"/>
        </w:rPr>
        <w:t>2 - Projeto – Participação em Eventos</w:t>
      </w:r>
    </w:p>
    <w:p>
      <w:pPr>
        <w:pStyle w:val="Normal"/>
        <w:spacing w:lineRule="auto" w:line="276"/>
        <w:jc w:val="both"/>
        <w:rPr>
          <w:b/>
          <w:bCs/>
          <w:color w:val="000000"/>
          <w:sz w:val="24"/>
          <w:szCs w:val="24"/>
          <w:shd w:fill="FFFFFF" w:val="clear"/>
        </w:rPr>
      </w:pPr>
      <w:r>
        <w:rPr>
          <w:b/>
          <w:bCs/>
          <w:color w:val="000000"/>
          <w:sz w:val="24"/>
          <w:szCs w:val="24"/>
          <w:shd w:fill="FFFFFF" w:val="clear"/>
        </w:rPr>
        <w:t>3 – Atividade – Manter e Desenvolver as Atividades de Fiscalização da Sede.</w:t>
      </w:r>
    </w:p>
    <w:p>
      <w:pPr>
        <w:pStyle w:val="Normal"/>
        <w:spacing w:lineRule="auto" w:line="276"/>
        <w:jc w:val="both"/>
        <w:rPr>
          <w:b/>
          <w:bCs/>
          <w:color w:val="000000"/>
          <w:sz w:val="24"/>
          <w:szCs w:val="24"/>
          <w:shd w:fill="FFFFFF" w:val="clear"/>
        </w:rPr>
      </w:pPr>
      <w:r>
        <w:rPr>
          <w:b/>
          <w:bCs/>
          <w:color w:val="000000"/>
          <w:sz w:val="24"/>
          <w:szCs w:val="24"/>
          <w:shd w:fill="FFFFFF" w:val="clear"/>
        </w:rPr>
        <w:t>4 - Atividade – Manter e Desenvolver as Atividades de Fiscalização - Juína</w:t>
      </w:r>
    </w:p>
    <w:p>
      <w:pPr>
        <w:pStyle w:val="Normal"/>
        <w:spacing w:lineRule="auto" w:line="276"/>
        <w:jc w:val="both"/>
        <w:rPr>
          <w:b/>
          <w:bCs/>
          <w:color w:val="000000"/>
          <w:sz w:val="24"/>
          <w:szCs w:val="24"/>
          <w:shd w:fill="FFFFFF" w:val="clear"/>
        </w:rPr>
      </w:pPr>
      <w:r>
        <w:rPr>
          <w:b/>
          <w:bCs/>
          <w:color w:val="000000"/>
          <w:sz w:val="24"/>
          <w:szCs w:val="24"/>
          <w:shd w:fill="FFFFFF" w:val="clear"/>
        </w:rPr>
        <w:t>5 - Atividade – Manter e Desenvolver as Atividades de Fiscalização – Rondonópolis</w:t>
      </w:r>
    </w:p>
    <w:p>
      <w:pPr>
        <w:pStyle w:val="Normal"/>
        <w:spacing w:lineRule="auto" w:line="276"/>
        <w:jc w:val="both"/>
        <w:rPr>
          <w:b/>
          <w:bCs/>
          <w:color w:val="000000"/>
          <w:sz w:val="24"/>
          <w:szCs w:val="24"/>
          <w:shd w:fill="FFFFFF" w:val="clear"/>
        </w:rPr>
      </w:pPr>
      <w:r>
        <w:rPr>
          <w:b/>
          <w:bCs/>
          <w:color w:val="000000"/>
          <w:sz w:val="24"/>
          <w:szCs w:val="24"/>
          <w:shd w:fill="FFFFFF" w:val="clear"/>
        </w:rPr>
        <w:t>6 - Atividade – Capacitação e Cursos</w:t>
      </w:r>
    </w:p>
    <w:p>
      <w:pPr>
        <w:pStyle w:val="Normal"/>
        <w:spacing w:lineRule="auto" w:line="276"/>
        <w:jc w:val="both"/>
        <w:rPr>
          <w:b/>
          <w:bCs/>
          <w:color w:val="000000"/>
          <w:sz w:val="24"/>
          <w:szCs w:val="24"/>
          <w:shd w:fill="FFFFFF" w:val="clear"/>
        </w:rPr>
      </w:pPr>
      <w:r>
        <w:rPr>
          <w:b/>
          <w:bCs/>
          <w:color w:val="000000"/>
          <w:sz w:val="24"/>
          <w:szCs w:val="24"/>
          <w:shd w:fill="FFFFFF" w:val="clear"/>
        </w:rPr>
        <w:t>7 - Atividade – Manter e Desenvolver as Atividades de Fiscalização – Sinop</w:t>
      </w:r>
    </w:p>
    <w:p>
      <w:pPr>
        <w:pStyle w:val="Normal"/>
        <w:spacing w:lineRule="auto" w:line="276"/>
        <w:jc w:val="both"/>
        <w:rPr>
          <w:b/>
          <w:bCs/>
          <w:color w:val="000000"/>
          <w:sz w:val="24"/>
          <w:szCs w:val="24"/>
          <w:shd w:fill="FFFFFF" w:val="clear"/>
        </w:rPr>
      </w:pPr>
      <w:r>
        <w:rPr>
          <w:b/>
          <w:bCs/>
          <w:color w:val="000000"/>
          <w:sz w:val="24"/>
          <w:szCs w:val="24"/>
          <w:shd w:fill="FFFFFF" w:val="clear"/>
        </w:rPr>
        <w:t>8 - Atividade – Manter e Desenvolver as Atividades de Educação Continuada</w:t>
      </w:r>
    </w:p>
    <w:p>
      <w:pPr>
        <w:pStyle w:val="Normal"/>
        <w:spacing w:lineRule="auto" w:line="276"/>
        <w:jc w:val="both"/>
        <w:rPr>
          <w:b/>
          <w:bCs/>
          <w:color w:val="000000"/>
          <w:sz w:val="24"/>
          <w:szCs w:val="24"/>
          <w:shd w:fill="FFFFFF" w:val="clear"/>
        </w:rPr>
      </w:pPr>
      <w:r>
        <w:rPr>
          <w:b/>
          <w:bCs/>
          <w:color w:val="000000"/>
          <w:sz w:val="24"/>
          <w:szCs w:val="24"/>
          <w:shd w:fill="FFFFFF" w:val="clear"/>
        </w:rPr>
        <w:t>9 – Projeto – CRO Meeting</w:t>
      </w:r>
    </w:p>
    <w:p>
      <w:pPr>
        <w:pStyle w:val="Normal"/>
        <w:spacing w:lineRule="auto" w:line="276"/>
        <w:jc w:val="both"/>
        <w:rPr>
          <w:b/>
          <w:bCs/>
          <w:color w:val="000000"/>
          <w:sz w:val="24"/>
          <w:szCs w:val="24"/>
          <w:shd w:fill="FFFFFF" w:val="clear"/>
        </w:rPr>
      </w:pPr>
      <w:r>
        <w:rPr>
          <w:b/>
          <w:bCs/>
          <w:color w:val="000000"/>
          <w:sz w:val="24"/>
          <w:szCs w:val="24"/>
          <w:shd w:fill="FFFFFF" w:val="clear"/>
        </w:rPr>
        <w:t>10 – Atividade - CRO na Estrada</w:t>
        <w:br/>
        <w:t>11 – Projeto – Congresso Odontologia</w:t>
      </w:r>
    </w:p>
    <w:p>
      <w:pPr>
        <w:pStyle w:val="Normal"/>
        <w:spacing w:lineRule="auto" w:line="276"/>
        <w:jc w:val="both"/>
        <w:rPr>
          <w:b/>
          <w:bCs/>
          <w:color w:val="000000"/>
          <w:sz w:val="24"/>
          <w:szCs w:val="24"/>
          <w:shd w:fill="FFFFFF" w:val="clear"/>
        </w:rPr>
      </w:pPr>
      <w:r>
        <w:rPr>
          <w:b/>
          <w:bCs/>
          <w:color w:val="000000"/>
          <w:sz w:val="24"/>
          <w:szCs w:val="24"/>
          <w:shd w:fill="FFFFFF" w:val="clear"/>
        </w:rPr>
        <w:t>12 – Atividade – Manter e Desenvolver as Atividades da Gestão Administrativa</w:t>
      </w:r>
    </w:p>
    <w:p>
      <w:pPr>
        <w:pStyle w:val="Normal"/>
        <w:spacing w:lineRule="auto" w:line="276"/>
        <w:jc w:val="both"/>
        <w:rPr>
          <w:b/>
          <w:bCs/>
          <w:color w:val="000000"/>
          <w:sz w:val="24"/>
          <w:szCs w:val="24"/>
          <w:shd w:fill="FFFFFF" w:val="clear"/>
        </w:rPr>
      </w:pPr>
      <w:r>
        <w:rPr>
          <w:b/>
          <w:bCs/>
          <w:color w:val="000000"/>
          <w:sz w:val="24"/>
          <w:szCs w:val="24"/>
          <w:shd w:fill="FFFFFF" w:val="clear"/>
        </w:rPr>
        <w:t>13 – Atividade – Manter e Desenvolver as Atividades de Fiscalização – Tangará da Serra</w:t>
      </w:r>
    </w:p>
    <w:p>
      <w:pPr>
        <w:pStyle w:val="Normal"/>
        <w:spacing w:lineRule="auto" w:line="276"/>
        <w:jc w:val="both"/>
        <w:rPr>
          <w:b/>
          <w:bCs/>
          <w:color w:val="000000"/>
          <w:sz w:val="24"/>
          <w:szCs w:val="24"/>
          <w:shd w:fill="FFFFFF" w:val="clear"/>
        </w:rPr>
      </w:pPr>
      <w:r>
        <w:rPr>
          <w:b/>
          <w:bCs/>
          <w:color w:val="000000"/>
          <w:sz w:val="24"/>
          <w:szCs w:val="24"/>
          <w:shd w:fill="FFFFFF" w:val="clear"/>
        </w:rPr>
        <w:t>14 - Atividade – Manter e Desenvolver as Atividades de Fiscalização – Barra do Garças</w:t>
      </w:r>
    </w:p>
    <w:p>
      <w:pPr>
        <w:pStyle w:val="Normal"/>
        <w:spacing w:lineRule="auto" w:line="276"/>
        <w:jc w:val="both"/>
        <w:rPr>
          <w:b/>
          <w:bCs/>
          <w:color w:val="000000"/>
          <w:sz w:val="24"/>
          <w:szCs w:val="24"/>
          <w:shd w:fill="FFFFFF" w:val="clear"/>
        </w:rPr>
      </w:pPr>
      <w:r>
        <w:rPr>
          <w:b/>
          <w:bCs/>
          <w:color w:val="000000"/>
          <w:sz w:val="24"/>
          <w:szCs w:val="24"/>
          <w:shd w:fill="FFFFFF" w:val="clear"/>
        </w:rPr>
        <w:t>Valor da Dotação por Centro de Custo:</w:t>
      </w:r>
    </w:p>
    <w:p>
      <w:pPr>
        <w:pStyle w:val="Normal"/>
        <w:spacing w:lineRule="auto" w:line="276"/>
        <w:jc w:val="both"/>
        <w:rPr>
          <w:b/>
          <w:bCs/>
          <w:color w:val="000000"/>
          <w:sz w:val="24"/>
          <w:szCs w:val="24"/>
          <w:shd w:fill="FFFFFF" w:val="clear"/>
        </w:rPr>
      </w:pPr>
      <w:r>
        <w:rPr>
          <w:b/>
          <w:bCs/>
          <w:color w:val="000000"/>
          <w:sz w:val="24"/>
          <w:szCs w:val="24"/>
          <w:shd w:fill="FFFFFF" w:val="clear"/>
        </w:rPr>
        <w:t>1 – R$ 30.000,00 (trinta mil reais)</w:t>
      </w:r>
    </w:p>
    <w:p>
      <w:pPr>
        <w:pStyle w:val="Normal"/>
        <w:spacing w:lineRule="auto" w:line="276"/>
        <w:jc w:val="both"/>
        <w:rPr>
          <w:b/>
          <w:bCs/>
          <w:color w:val="000000"/>
          <w:sz w:val="24"/>
          <w:szCs w:val="24"/>
          <w:shd w:fill="FFFFFF" w:val="clear"/>
        </w:rPr>
      </w:pPr>
      <w:r>
        <w:rPr>
          <w:b/>
          <w:bCs/>
          <w:color w:val="000000"/>
          <w:sz w:val="24"/>
          <w:szCs w:val="24"/>
          <w:shd w:fill="FFFFFF" w:val="clear"/>
        </w:rPr>
        <w:t>2 – R$ 20.000,00 (vinte mil reais)</w:t>
      </w:r>
    </w:p>
    <w:p>
      <w:pPr>
        <w:pStyle w:val="Normal"/>
        <w:spacing w:lineRule="auto" w:line="276"/>
        <w:jc w:val="both"/>
        <w:rPr>
          <w:b/>
          <w:bCs/>
          <w:color w:val="000000"/>
          <w:sz w:val="24"/>
          <w:szCs w:val="24"/>
          <w:shd w:fill="FFFFFF" w:val="clear"/>
        </w:rPr>
      </w:pPr>
      <w:r>
        <w:rPr>
          <w:b/>
          <w:bCs/>
          <w:color w:val="000000"/>
          <w:sz w:val="24"/>
          <w:szCs w:val="24"/>
          <w:shd w:fill="FFFFFF" w:val="clear"/>
        </w:rPr>
        <w:t>3 – R$ 1.500,00 (um mil e quinhentos reais)</w:t>
      </w:r>
    </w:p>
    <w:p>
      <w:pPr>
        <w:pStyle w:val="Normal"/>
        <w:spacing w:lineRule="auto" w:line="276"/>
        <w:jc w:val="both"/>
        <w:rPr>
          <w:b/>
          <w:bCs/>
          <w:color w:val="000000"/>
          <w:sz w:val="24"/>
          <w:szCs w:val="24"/>
          <w:shd w:fill="FFFFFF" w:val="clear"/>
        </w:rPr>
      </w:pPr>
      <w:r>
        <w:rPr>
          <w:b/>
          <w:bCs/>
          <w:color w:val="000000"/>
          <w:sz w:val="24"/>
          <w:szCs w:val="24"/>
          <w:shd w:fill="FFFFFF" w:val="clear"/>
        </w:rPr>
        <w:t>4 – R$ 2.500,00 (dois mil e quinhentos reais)</w:t>
      </w:r>
    </w:p>
    <w:p>
      <w:pPr>
        <w:pStyle w:val="Normal"/>
        <w:spacing w:lineRule="auto" w:line="276"/>
        <w:jc w:val="both"/>
        <w:rPr>
          <w:b/>
          <w:bCs/>
          <w:color w:val="000000"/>
          <w:sz w:val="24"/>
          <w:szCs w:val="24"/>
          <w:shd w:fill="FFFFFF" w:val="clear"/>
        </w:rPr>
      </w:pPr>
      <w:r>
        <w:rPr>
          <w:b/>
          <w:bCs/>
          <w:color w:val="000000"/>
          <w:sz w:val="24"/>
          <w:szCs w:val="24"/>
          <w:shd w:fill="FFFFFF" w:val="clear"/>
        </w:rPr>
        <w:t>5 – R$ 2.000,00 (dois mil reais)</w:t>
      </w:r>
    </w:p>
    <w:p>
      <w:pPr>
        <w:pStyle w:val="Normal"/>
        <w:spacing w:lineRule="auto" w:line="276"/>
        <w:jc w:val="both"/>
        <w:rPr>
          <w:b/>
          <w:bCs/>
          <w:color w:val="000000"/>
          <w:sz w:val="24"/>
          <w:szCs w:val="24"/>
          <w:shd w:fill="FFFFFF" w:val="clear"/>
        </w:rPr>
      </w:pPr>
      <w:r>
        <w:rPr>
          <w:b/>
          <w:bCs/>
          <w:color w:val="000000"/>
          <w:sz w:val="24"/>
          <w:szCs w:val="24"/>
          <w:shd w:fill="FFFFFF" w:val="clear"/>
        </w:rPr>
        <w:t>6 – R$ 25.000,00 (vinte e cinco mil reais)</w:t>
      </w:r>
    </w:p>
    <w:p>
      <w:pPr>
        <w:pStyle w:val="Normal"/>
        <w:spacing w:lineRule="auto" w:line="276"/>
        <w:jc w:val="both"/>
        <w:rPr>
          <w:b/>
          <w:bCs/>
          <w:color w:val="000000"/>
          <w:sz w:val="24"/>
          <w:szCs w:val="24"/>
          <w:shd w:fill="FFFFFF" w:val="clear"/>
        </w:rPr>
      </w:pPr>
      <w:r>
        <w:rPr>
          <w:b/>
          <w:bCs/>
          <w:color w:val="000000"/>
          <w:sz w:val="24"/>
          <w:szCs w:val="24"/>
          <w:shd w:fill="FFFFFF" w:val="clear"/>
        </w:rPr>
        <w:t>7 – R$ 2.000,00 (dois mil reais)</w:t>
      </w:r>
    </w:p>
    <w:p>
      <w:pPr>
        <w:pStyle w:val="Normal"/>
        <w:spacing w:lineRule="auto" w:line="276"/>
        <w:jc w:val="both"/>
        <w:rPr>
          <w:b/>
          <w:bCs/>
          <w:color w:val="000000"/>
          <w:sz w:val="24"/>
          <w:szCs w:val="24"/>
          <w:shd w:fill="FFFFFF" w:val="clear"/>
        </w:rPr>
      </w:pPr>
      <w:r>
        <w:rPr>
          <w:b/>
          <w:bCs/>
          <w:color w:val="000000"/>
          <w:sz w:val="24"/>
          <w:szCs w:val="24"/>
          <w:shd w:fill="FFFFFF" w:val="clear"/>
        </w:rPr>
        <w:t>8 – R$ 25.000,00 (vinte e cinco mil reais)</w:t>
      </w:r>
    </w:p>
    <w:p>
      <w:pPr>
        <w:pStyle w:val="Normal"/>
        <w:spacing w:lineRule="auto" w:line="276"/>
        <w:jc w:val="both"/>
        <w:rPr>
          <w:b/>
          <w:bCs/>
          <w:color w:val="000000"/>
          <w:sz w:val="24"/>
          <w:szCs w:val="24"/>
          <w:shd w:fill="FFFFFF" w:val="clear"/>
        </w:rPr>
      </w:pPr>
      <w:r>
        <w:rPr>
          <w:b/>
          <w:bCs/>
          <w:color w:val="000000"/>
          <w:sz w:val="24"/>
          <w:szCs w:val="24"/>
          <w:shd w:fill="FFFFFF" w:val="clear"/>
        </w:rPr>
        <w:t>9 – 37.500,00 (trinta e sete mil e quinhentos reais)</w:t>
      </w:r>
    </w:p>
    <w:p>
      <w:pPr>
        <w:pStyle w:val="Normal"/>
        <w:spacing w:lineRule="auto" w:line="276"/>
        <w:jc w:val="both"/>
        <w:rPr>
          <w:b/>
          <w:bCs/>
          <w:color w:val="000000"/>
          <w:sz w:val="24"/>
          <w:szCs w:val="24"/>
          <w:shd w:fill="FFFFFF" w:val="clear"/>
        </w:rPr>
      </w:pPr>
      <w:r>
        <w:rPr>
          <w:b/>
          <w:bCs/>
          <w:color w:val="000000"/>
          <w:sz w:val="24"/>
          <w:szCs w:val="24"/>
          <w:shd w:fill="FFFFFF" w:val="clear"/>
        </w:rPr>
        <w:t>10 - R$ 20.000,00 (vinte mil reais)</w:t>
      </w:r>
    </w:p>
    <w:p>
      <w:pPr>
        <w:pStyle w:val="Normal"/>
        <w:spacing w:lineRule="auto" w:line="276"/>
        <w:jc w:val="both"/>
        <w:rPr>
          <w:b/>
          <w:bCs/>
          <w:color w:val="000000"/>
          <w:sz w:val="24"/>
          <w:szCs w:val="24"/>
          <w:shd w:fill="FFFFFF" w:val="clear"/>
        </w:rPr>
      </w:pPr>
      <w:r>
        <w:rPr>
          <w:b/>
          <w:bCs/>
          <w:color w:val="000000"/>
          <w:sz w:val="24"/>
          <w:szCs w:val="24"/>
          <w:shd w:fill="FFFFFF" w:val="clear"/>
        </w:rPr>
        <w:t>11 – 87.500,00 (oitenta e sete mil e quinhentos reais)</w:t>
      </w:r>
    </w:p>
    <w:p>
      <w:pPr>
        <w:pStyle w:val="Normal"/>
        <w:spacing w:lineRule="auto" w:line="276"/>
        <w:jc w:val="both"/>
        <w:rPr>
          <w:b/>
          <w:bCs/>
          <w:color w:val="000000"/>
          <w:sz w:val="24"/>
          <w:szCs w:val="24"/>
          <w:shd w:fill="FFFFFF" w:val="clear"/>
        </w:rPr>
      </w:pPr>
      <w:r>
        <w:rPr>
          <w:b/>
          <w:bCs/>
          <w:color w:val="000000"/>
          <w:sz w:val="24"/>
          <w:szCs w:val="24"/>
          <w:shd w:fill="FFFFFF" w:val="clear"/>
        </w:rPr>
        <w:t>12 – R$ 20.000,00 (vinte mil reais)</w:t>
      </w:r>
    </w:p>
    <w:p>
      <w:pPr>
        <w:pStyle w:val="Normal"/>
        <w:spacing w:lineRule="auto" w:line="276"/>
        <w:jc w:val="both"/>
        <w:rPr>
          <w:b/>
          <w:bCs/>
          <w:color w:val="000000"/>
          <w:sz w:val="24"/>
          <w:szCs w:val="24"/>
          <w:shd w:fill="FFFFFF" w:val="clear"/>
        </w:rPr>
      </w:pPr>
      <w:r>
        <w:rPr>
          <w:b/>
          <w:bCs/>
          <w:color w:val="000000"/>
          <w:sz w:val="24"/>
          <w:szCs w:val="24"/>
          <w:shd w:fill="FFFFFF" w:val="clear"/>
        </w:rPr>
        <w:t>13 – R$ 2.500,00 (dois mil e quinhentos reais)</w:t>
      </w:r>
    </w:p>
    <w:p>
      <w:pPr>
        <w:pStyle w:val="Normal"/>
        <w:spacing w:lineRule="auto" w:line="276"/>
        <w:jc w:val="both"/>
        <w:rPr>
          <w:b/>
          <w:bCs/>
          <w:color w:val="000000"/>
          <w:sz w:val="24"/>
          <w:szCs w:val="24"/>
          <w:shd w:fill="FFFFFF" w:val="clear"/>
        </w:rPr>
      </w:pPr>
      <w:r>
        <w:rPr>
          <w:b/>
          <w:bCs/>
          <w:color w:val="000000"/>
          <w:sz w:val="24"/>
          <w:szCs w:val="24"/>
          <w:shd w:fill="FFFFFF" w:val="clear"/>
        </w:rPr>
        <w:t>14 - R$ 2.500,00 (dois mil e quinhentos reais)</w:t>
      </w:r>
    </w:p>
    <w:p>
      <w:pPr>
        <w:pStyle w:val="Normal"/>
        <w:spacing w:lineRule="auto" w:line="276"/>
        <w:jc w:val="both"/>
        <w:rPr>
          <w:b/>
          <w:bCs/>
          <w:color w:val="000000"/>
          <w:sz w:val="24"/>
          <w:szCs w:val="24"/>
          <w:shd w:fill="FFFFFF" w:val="clear"/>
        </w:rPr>
      </w:pPr>
      <w:bookmarkStart w:id="13" w:name="_Hlk156465499"/>
      <w:r>
        <w:rPr>
          <w:b/>
          <w:bCs/>
          <w:color w:val="000000"/>
          <w:sz w:val="24"/>
          <w:szCs w:val="24"/>
          <w:shd w:fill="FFFFFF" w:val="clear"/>
        </w:rPr>
        <w:t>R$ 278.000,00 (duzentos e setenta e oito mil reais), recurso próprio, orçamento 2024.</w:t>
      </w:r>
      <w:bookmarkEnd w:id="13"/>
    </w:p>
    <w:p>
      <w:pPr>
        <w:pStyle w:val="Normal"/>
        <w:spacing w:lineRule="auto" w:line="276"/>
        <w:jc w:val="both"/>
        <w:rPr>
          <w:b/>
          <w:bCs/>
          <w:color w:val="000000"/>
          <w:sz w:val="24"/>
          <w:szCs w:val="24"/>
          <w:shd w:fill="FFFFFF" w:val="clear"/>
        </w:rPr>
      </w:pPr>
      <w:r>
        <w:rPr>
          <w:b/>
          <w:bCs/>
          <w:color w:val="000000"/>
          <w:sz w:val="24"/>
          <w:szCs w:val="24"/>
          <w:shd w:fill="FFFFFF" w:val="clear"/>
        </w:rPr>
      </w:r>
    </w:p>
    <w:p>
      <w:pPr>
        <w:pStyle w:val="Normal"/>
        <w:pBdr>
          <w:top w:val="single" w:sz="4" w:space="1" w:color="000000"/>
          <w:left w:val="single" w:sz="4" w:space="4" w:color="000000"/>
          <w:bottom w:val="single" w:sz="4" w:space="1" w:color="000000"/>
          <w:right w:val="single" w:sz="4" w:space="4" w:color="000000"/>
        </w:pBdr>
        <w:shd w:val="clear" w:color="auto" w:fill="A6A6A6" w:themeFill="background1" w:themeFillShade="a6"/>
        <w:spacing w:lineRule="auto" w:line="276"/>
        <w:ind w:hanging="142" w:left="142"/>
        <w:jc w:val="both"/>
        <w:rPr>
          <w:b/>
          <w:bCs/>
          <w:color w:val="000000"/>
          <w:sz w:val="24"/>
          <w:szCs w:val="24"/>
          <w:shd w:fill="FFFFFF" w:val="clear"/>
        </w:rPr>
      </w:pPr>
      <w:r>
        <w:rPr>
          <w:b/>
          <w:bCs/>
          <w:sz w:val="24"/>
          <w:szCs w:val="24"/>
        </w:rPr>
        <w:t>5. DA ESPECIFICAÇÃO DO OBJETO</w:t>
      </w:r>
    </w:p>
    <w:p>
      <w:pPr>
        <w:pStyle w:val="Normal"/>
        <w:spacing w:lineRule="auto" w:line="276"/>
        <w:jc w:val="both"/>
        <w:rPr>
          <w:color w:val="222222"/>
          <w:sz w:val="24"/>
          <w:szCs w:val="24"/>
          <w:shd w:fill="FFFFFF" w:val="clear"/>
        </w:rPr>
      </w:pPr>
      <w:r>
        <w:rPr>
          <w:color w:val="222222"/>
          <w:sz w:val="24"/>
          <w:szCs w:val="24"/>
          <w:shd w:fill="FFFFFF" w:val="clear"/>
        </w:rPr>
      </w:r>
    </w:p>
    <w:tbl>
      <w:tblPr>
        <w:tblStyle w:val="Tabelacomgrade"/>
        <w:tblW w:w="10370" w:type="dxa"/>
        <w:jc w:val="left"/>
        <w:tblInd w:w="-34" w:type="dxa"/>
        <w:tblLayout w:type="fixed"/>
        <w:tblCellMar>
          <w:top w:w="0" w:type="dxa"/>
          <w:left w:w="108" w:type="dxa"/>
          <w:bottom w:w="0" w:type="dxa"/>
          <w:right w:w="108" w:type="dxa"/>
        </w:tblCellMar>
        <w:tblLook w:firstRow="1" w:noVBand="1" w:lastRow="0" w:firstColumn="1" w:lastColumn="0" w:noHBand="0" w:val="04a0"/>
      </w:tblPr>
      <w:tblGrid>
        <w:gridCol w:w="665"/>
        <w:gridCol w:w="5006"/>
        <w:gridCol w:w="1175"/>
        <w:gridCol w:w="2111"/>
        <w:gridCol w:w="1413"/>
      </w:tblGrid>
      <w:tr>
        <w:trPr/>
        <w:tc>
          <w:tcPr>
            <w:tcW w:w="665" w:type="dxa"/>
            <w:tcBorders/>
            <w:vAlign w:val="center"/>
          </w:tcPr>
          <w:p>
            <w:pPr>
              <w:pStyle w:val="Normal"/>
              <w:widowControl/>
              <w:suppressAutoHyphens w:val="true"/>
              <w:spacing w:lineRule="auto" w:line="360" w:before="0" w:after="0"/>
              <w:ind w:left="-113" w:right="-113"/>
              <w:jc w:val="center"/>
              <w:rPr>
                <w:kern w:val="0"/>
                <w:lang w:val="pt-BR" w:bidi="ar-SA"/>
              </w:rPr>
            </w:pPr>
            <w:r>
              <w:rPr>
                <w:rFonts w:eastAsia="Calibri"/>
                <w:b/>
                <w:bCs/>
                <w:kern w:val="0"/>
                <w:lang w:val="pt-BR" w:bidi="ar-SA"/>
              </w:rPr>
              <w:t>ITEM</w:t>
            </w:r>
          </w:p>
        </w:tc>
        <w:tc>
          <w:tcPr>
            <w:tcW w:w="5006" w:type="dxa"/>
            <w:tcBorders/>
            <w:vAlign w:val="center"/>
          </w:tcPr>
          <w:p>
            <w:pPr>
              <w:pStyle w:val="Normal"/>
              <w:widowControl/>
              <w:suppressAutoHyphens w:val="true"/>
              <w:spacing w:lineRule="auto" w:line="360" w:before="0" w:after="0"/>
              <w:ind w:left="-709" w:right="-852"/>
              <w:jc w:val="center"/>
              <w:rPr>
                <w:kern w:val="0"/>
                <w:lang w:val="pt-BR" w:bidi="ar-SA"/>
              </w:rPr>
            </w:pPr>
            <w:r>
              <w:rPr>
                <w:rFonts w:eastAsia="Calibri"/>
                <w:b/>
                <w:bCs/>
                <w:kern w:val="0"/>
                <w:lang w:val="pt-BR" w:bidi="ar-SA"/>
              </w:rPr>
              <w:t>ESPECIFICAÇÕES</w:t>
            </w:r>
          </w:p>
        </w:tc>
        <w:tc>
          <w:tcPr>
            <w:tcW w:w="1175" w:type="dxa"/>
            <w:tcBorders/>
          </w:tcPr>
          <w:p>
            <w:pPr>
              <w:pStyle w:val="Normal"/>
              <w:widowControl/>
              <w:suppressAutoHyphens w:val="true"/>
              <w:spacing w:lineRule="auto" w:line="360" w:before="0" w:after="0"/>
              <w:ind w:left="57" w:right="57"/>
              <w:jc w:val="center"/>
              <w:rPr>
                <w:kern w:val="0"/>
                <w:lang w:val="pt-BR" w:bidi="ar-SA"/>
              </w:rPr>
            </w:pPr>
            <w:r>
              <w:rPr>
                <w:rFonts w:eastAsia="Calibri"/>
                <w:b/>
                <w:bCs/>
                <w:kern w:val="0"/>
                <w:lang w:val="pt-BR" w:bidi="ar-SA"/>
              </w:rPr>
              <w:t>UNID. MEDIDA</w:t>
            </w:r>
          </w:p>
        </w:tc>
        <w:tc>
          <w:tcPr>
            <w:tcW w:w="2111" w:type="dxa"/>
            <w:tcBorders>
              <w:right w:val="nil"/>
            </w:tcBorders>
            <w:vAlign w:val="center"/>
          </w:tcPr>
          <w:p>
            <w:pPr>
              <w:pStyle w:val="Normal"/>
              <w:widowControl/>
              <w:suppressAutoHyphens w:val="true"/>
              <w:spacing w:lineRule="auto" w:line="360" w:before="0" w:after="0"/>
              <w:ind w:left="57"/>
              <w:jc w:val="center"/>
              <w:rPr>
                <w:kern w:val="0"/>
                <w:lang w:val="pt-BR" w:bidi="ar-SA"/>
              </w:rPr>
            </w:pPr>
            <w:r>
              <w:rPr>
                <w:rFonts w:eastAsia="Calibri"/>
                <w:b/>
                <w:bCs/>
                <w:kern w:val="0"/>
                <w:lang w:val="pt-BR" w:bidi="ar-SA"/>
              </w:rPr>
              <w:t>VALOR EST.</w:t>
            </w:r>
          </w:p>
        </w:tc>
        <w:tc>
          <w:tcPr>
            <w:tcW w:w="1413" w:type="dxa"/>
            <w:tcBorders/>
            <w:vAlign w:val="center"/>
          </w:tcPr>
          <w:p>
            <w:pPr>
              <w:pStyle w:val="Normal"/>
              <w:widowControl/>
              <w:suppressAutoHyphens w:val="true"/>
              <w:spacing w:lineRule="auto" w:line="360" w:before="0" w:after="0"/>
              <w:ind w:left="57"/>
              <w:jc w:val="center"/>
              <w:rPr>
                <w:kern w:val="0"/>
                <w:lang w:val="pt-BR" w:bidi="ar-SA"/>
              </w:rPr>
            </w:pPr>
            <w:r>
              <w:rPr>
                <w:rFonts w:eastAsia="Calibri"/>
                <w:b/>
                <w:bCs/>
                <w:kern w:val="0"/>
                <w:lang w:val="pt-BR" w:bidi="ar-SA"/>
              </w:rPr>
              <w:t>TAXA DE DESCONTO</w:t>
            </w:r>
          </w:p>
        </w:tc>
      </w:tr>
      <w:tr>
        <w:trPr>
          <w:trHeight w:val="1265" w:hRule="atLeast"/>
        </w:trPr>
        <w:tc>
          <w:tcPr>
            <w:tcW w:w="665" w:type="dxa"/>
            <w:tcBorders/>
            <w:vAlign w:val="center"/>
          </w:tcPr>
          <w:p>
            <w:pPr>
              <w:pStyle w:val="Normal"/>
              <w:widowControl/>
              <w:suppressAutoHyphens w:val="true"/>
              <w:spacing w:lineRule="auto" w:line="360" w:before="0" w:after="0"/>
              <w:ind w:left="-113"/>
              <w:jc w:val="center"/>
              <w:rPr>
                <w:bCs/>
                <w:sz w:val="24"/>
                <w:szCs w:val="24"/>
                <w:highlight w:val="yellow"/>
              </w:rPr>
            </w:pPr>
            <w:r>
              <w:rPr>
                <w:bCs/>
                <w:sz w:val="24"/>
                <w:szCs w:val="24"/>
                <w:highlight w:val="yellow"/>
              </w:rPr>
            </w:r>
          </w:p>
          <w:p>
            <w:pPr>
              <w:pStyle w:val="Normal"/>
              <w:widowControl/>
              <w:suppressAutoHyphens w:val="true"/>
              <w:spacing w:lineRule="auto" w:line="360" w:before="0" w:after="0"/>
              <w:ind w:left="-113"/>
              <w:jc w:val="center"/>
              <w:rPr>
                <w:bCs/>
                <w:sz w:val="24"/>
                <w:szCs w:val="24"/>
                <w:highlight w:val="yellow"/>
              </w:rPr>
            </w:pPr>
            <w:r>
              <w:rPr>
                <w:rFonts w:eastAsia="Calibri"/>
                <w:bCs/>
                <w:kern w:val="0"/>
                <w:sz w:val="24"/>
                <w:szCs w:val="24"/>
                <w:lang w:val="pt-BR" w:bidi="ar-SA"/>
              </w:rPr>
              <w:t>01</w:t>
            </w:r>
          </w:p>
        </w:tc>
        <w:tc>
          <w:tcPr>
            <w:tcW w:w="5006" w:type="dxa"/>
            <w:tcBorders/>
          </w:tcPr>
          <w:p>
            <w:pPr>
              <w:pStyle w:val="Normal"/>
              <w:widowControl/>
              <w:suppressAutoHyphens w:val="true"/>
              <w:spacing w:before="0" w:after="46"/>
              <w:jc w:val="both"/>
              <w:rPr>
                <w:kern w:val="0"/>
                <w:lang w:val="pt-BR" w:bidi="ar-SA"/>
              </w:rPr>
            </w:pPr>
            <w:r>
              <w:rPr>
                <w:color w:val="000000"/>
                <w:kern w:val="0"/>
                <w:sz w:val="24"/>
                <w:szCs w:val="24"/>
                <w:lang w:val="pt-BR" w:bidi="ar-SA"/>
              </w:rPr>
              <w:t xml:space="preserve">Os serviços de emissão de </w:t>
            </w:r>
            <w:r>
              <w:rPr>
                <w:color w:val="000000"/>
                <w:kern w:val="0"/>
                <w:sz w:val="24"/>
                <w:lang w:val="pt-BR" w:bidi="ar-SA"/>
              </w:rPr>
              <w:t>passagens aéreas devem incluir:</w:t>
            </w:r>
          </w:p>
          <w:p>
            <w:pPr>
              <w:pStyle w:val="Normal"/>
              <w:widowControl/>
              <w:suppressAutoHyphens w:val="true"/>
              <w:spacing w:before="0" w:after="46"/>
              <w:jc w:val="both"/>
              <w:rPr>
                <w:kern w:val="0"/>
                <w:lang w:val="pt-BR" w:bidi="ar-SA"/>
              </w:rPr>
            </w:pPr>
            <w:r>
              <w:rPr>
                <w:color w:val="000000"/>
                <w:kern w:val="0"/>
                <w:sz w:val="24"/>
                <w:lang w:val="pt-BR" w:bidi="ar-SA"/>
              </w:rPr>
              <w:t>* Passagem aérea (ida e volta);</w:t>
            </w:r>
          </w:p>
          <w:p>
            <w:pPr>
              <w:pStyle w:val="Normal"/>
              <w:widowControl/>
              <w:suppressAutoHyphens w:val="true"/>
              <w:spacing w:before="0" w:after="46"/>
              <w:jc w:val="both"/>
              <w:rPr>
                <w:kern w:val="0"/>
                <w:lang w:val="pt-BR" w:bidi="ar-SA"/>
              </w:rPr>
            </w:pPr>
            <w:r>
              <w:rPr>
                <w:color w:val="000000"/>
                <w:kern w:val="0"/>
                <w:sz w:val="24"/>
                <w:lang w:val="pt-BR" w:bidi="ar-SA"/>
              </w:rPr>
              <w:t xml:space="preserve">* </w:t>
            </w:r>
            <w:r>
              <w:rPr>
                <w:color w:val="000009"/>
                <w:kern w:val="0"/>
                <w:sz w:val="24"/>
                <w:lang w:val="pt-BR" w:bidi="ar-SA"/>
              </w:rPr>
              <w:t>Reemissão de bilhete de passagem aérea não utilizado (não voado), quando necessário;</w:t>
            </w:r>
          </w:p>
          <w:p>
            <w:pPr>
              <w:pStyle w:val="Normal"/>
              <w:widowControl/>
              <w:suppressAutoHyphens w:val="true"/>
              <w:spacing w:before="0" w:after="0"/>
              <w:jc w:val="both"/>
              <w:rPr>
                <w:kern w:val="0"/>
                <w:lang w:val="pt-BR" w:bidi="ar-SA"/>
              </w:rPr>
            </w:pPr>
            <w:r>
              <w:rPr>
                <w:color w:val="000009"/>
                <w:kern w:val="0"/>
                <w:sz w:val="24"/>
                <w:lang w:val="pt-BR" w:bidi="ar-SA"/>
              </w:rPr>
              <w:t>*Alteração de horário ou data do bilhete de passagem aérea emitido, quando necessário;</w:t>
            </w:r>
          </w:p>
          <w:p>
            <w:pPr>
              <w:pStyle w:val="Normal"/>
              <w:widowControl/>
              <w:suppressAutoHyphens w:val="true"/>
              <w:spacing w:before="0" w:after="0"/>
              <w:jc w:val="both"/>
              <w:rPr>
                <w:kern w:val="0"/>
                <w:lang w:val="pt-BR" w:bidi="ar-SA"/>
              </w:rPr>
            </w:pPr>
            <w:r>
              <w:rPr>
                <w:color w:val="000009"/>
                <w:kern w:val="0"/>
                <w:sz w:val="24"/>
                <w:lang w:val="pt-BR" w:bidi="ar-SA"/>
              </w:rPr>
              <w:t>* Cancelamento de bilhete de passagem aérea, por Ordem;</w:t>
            </w:r>
          </w:p>
          <w:p>
            <w:pPr>
              <w:pStyle w:val="Normal"/>
              <w:widowControl/>
              <w:suppressAutoHyphens w:val="true"/>
              <w:spacing w:before="0" w:after="0"/>
              <w:jc w:val="both"/>
              <w:rPr>
                <w:kern w:val="0"/>
                <w:lang w:val="pt-BR" w:bidi="ar-SA"/>
              </w:rPr>
            </w:pPr>
            <w:r>
              <w:rPr>
                <w:color w:val="000009"/>
                <w:kern w:val="0"/>
                <w:sz w:val="24"/>
                <w:lang w:val="pt-BR" w:bidi="ar-SA"/>
              </w:rPr>
              <w:t>* O serviço de agenciamento para passagens aéreas será pago para a agência contratada com base no valor total da passagem aérea subtraído do percentual fixo ofertado pelo contratado sobre o valor de uma passagem aérea ida e volta.</w:t>
            </w:r>
          </w:p>
        </w:tc>
        <w:tc>
          <w:tcPr>
            <w:tcW w:w="1175" w:type="dxa"/>
            <w:tcBorders/>
            <w:vAlign w:val="center"/>
          </w:tcPr>
          <w:p>
            <w:pPr>
              <w:pStyle w:val="Normal"/>
              <w:widowControl/>
              <w:suppressAutoHyphens w:val="true"/>
              <w:spacing w:lineRule="auto" w:line="360" w:before="0" w:after="0"/>
              <w:jc w:val="center"/>
              <w:rPr>
                <w:sz w:val="24"/>
                <w:szCs w:val="24"/>
              </w:rPr>
            </w:pPr>
            <w:r>
              <w:rPr>
                <w:sz w:val="24"/>
                <w:szCs w:val="24"/>
              </w:rPr>
            </w:r>
          </w:p>
          <w:p>
            <w:pPr>
              <w:pStyle w:val="Normal"/>
              <w:widowControl/>
              <w:suppressAutoHyphens w:val="true"/>
              <w:spacing w:lineRule="auto" w:line="360" w:before="0" w:after="0"/>
              <w:jc w:val="center"/>
              <w:rPr>
                <w:sz w:val="24"/>
                <w:szCs w:val="24"/>
              </w:rPr>
            </w:pPr>
            <w:r>
              <w:rPr>
                <w:rFonts w:eastAsia="Calibri"/>
                <w:kern w:val="0"/>
                <w:sz w:val="24"/>
                <w:szCs w:val="24"/>
                <w:lang w:val="pt-BR" w:bidi="ar-SA"/>
              </w:rPr>
              <w:t>Serv</w:t>
            </w:r>
          </w:p>
        </w:tc>
        <w:tc>
          <w:tcPr>
            <w:tcW w:w="2111" w:type="dxa"/>
            <w:tcBorders>
              <w:right w:val="nil"/>
            </w:tcBorders>
            <w:vAlign w:val="center"/>
          </w:tcPr>
          <w:p>
            <w:pPr>
              <w:pStyle w:val="Normal"/>
              <w:widowControl/>
              <w:suppressAutoHyphens w:val="true"/>
              <w:spacing w:lineRule="auto" w:line="360" w:before="0" w:after="0"/>
              <w:ind w:left="113" w:right="57"/>
              <w:jc w:val="center"/>
              <w:rPr>
                <w:sz w:val="24"/>
                <w:szCs w:val="24"/>
              </w:rPr>
            </w:pPr>
            <w:r>
              <w:rPr>
                <w:sz w:val="24"/>
                <w:szCs w:val="24"/>
              </w:rPr>
            </w:r>
          </w:p>
          <w:p>
            <w:pPr>
              <w:pStyle w:val="Normal"/>
              <w:widowControl/>
              <w:suppressAutoHyphens w:val="true"/>
              <w:spacing w:lineRule="auto" w:line="360" w:before="0" w:after="0"/>
              <w:ind w:left="113" w:right="57"/>
              <w:jc w:val="center"/>
              <w:rPr>
                <w:sz w:val="24"/>
                <w:szCs w:val="24"/>
              </w:rPr>
            </w:pPr>
            <w:r>
              <w:rPr>
                <w:rFonts w:eastAsia="Calibri"/>
                <w:kern w:val="0"/>
                <w:sz w:val="24"/>
                <w:szCs w:val="24"/>
                <w:lang w:val="pt-BR" w:bidi="ar-SA"/>
              </w:rPr>
              <w:t>R$ 228.000,00</w:t>
            </w:r>
          </w:p>
        </w:tc>
        <w:tc>
          <w:tcPr>
            <w:tcW w:w="1413" w:type="dxa"/>
            <w:tcBorders/>
            <w:vAlign w:val="center"/>
          </w:tcPr>
          <w:p>
            <w:pPr>
              <w:pStyle w:val="Normal"/>
              <w:widowControl/>
              <w:suppressAutoHyphens w:val="true"/>
              <w:spacing w:lineRule="auto" w:line="360" w:before="0" w:after="0"/>
              <w:ind w:left="113" w:right="57"/>
              <w:jc w:val="center"/>
              <w:rPr>
                <w:sz w:val="24"/>
                <w:szCs w:val="24"/>
              </w:rPr>
            </w:pPr>
            <w:r>
              <w:rPr>
                <w:sz w:val="24"/>
                <w:szCs w:val="24"/>
              </w:rPr>
            </w:r>
          </w:p>
          <w:p>
            <w:pPr>
              <w:pStyle w:val="Normal"/>
              <w:widowControl/>
              <w:suppressAutoHyphens w:val="true"/>
              <w:spacing w:lineRule="auto" w:line="360" w:before="0" w:after="0"/>
              <w:ind w:left="113" w:right="57"/>
              <w:jc w:val="center"/>
              <w:rPr>
                <w:sz w:val="24"/>
                <w:szCs w:val="24"/>
              </w:rPr>
            </w:pPr>
            <w:r>
              <w:rPr>
                <w:kern w:val="0"/>
                <w:sz w:val="24"/>
                <w:szCs w:val="24"/>
                <w:lang w:val="pt-BR" w:bidi="ar-SA"/>
              </w:rPr>
              <w:t xml:space="preserve">R$ </w:t>
            </w:r>
            <w:r>
              <w:rPr>
                <w:kern w:val="0"/>
                <w:sz w:val="24"/>
                <w:szCs w:val="24"/>
                <w:lang w:val="pt-BR" w:bidi="ar-SA"/>
              </w:rPr>
              <w:t>2,004</w:t>
            </w:r>
          </w:p>
        </w:tc>
      </w:tr>
      <w:tr>
        <w:trPr>
          <w:trHeight w:val="1265" w:hRule="atLeast"/>
        </w:trPr>
        <w:tc>
          <w:tcPr>
            <w:tcW w:w="665" w:type="dxa"/>
            <w:tcBorders/>
            <w:vAlign w:val="center"/>
          </w:tcPr>
          <w:p>
            <w:pPr>
              <w:pStyle w:val="Normal"/>
              <w:widowControl/>
              <w:suppressAutoHyphens w:val="true"/>
              <w:spacing w:lineRule="auto" w:line="360" w:before="0" w:after="0"/>
              <w:ind w:left="-113"/>
              <w:jc w:val="center"/>
              <w:rPr>
                <w:bCs/>
                <w:sz w:val="24"/>
                <w:szCs w:val="24"/>
                <w:highlight w:val="yellow"/>
              </w:rPr>
            </w:pPr>
            <w:r>
              <w:rPr>
                <w:bCs/>
                <w:kern w:val="0"/>
                <w:sz w:val="24"/>
                <w:szCs w:val="24"/>
                <w:lang w:val="pt-BR" w:bidi="ar-SA"/>
              </w:rPr>
              <w:t>02</w:t>
            </w:r>
          </w:p>
        </w:tc>
        <w:tc>
          <w:tcPr>
            <w:tcW w:w="5006" w:type="dxa"/>
            <w:tcBorders/>
          </w:tcPr>
          <w:p>
            <w:pPr>
              <w:pStyle w:val="Normal"/>
              <w:widowControl/>
              <w:suppressAutoHyphens w:val="true"/>
              <w:spacing w:before="0" w:after="46"/>
              <w:jc w:val="both"/>
              <w:rPr>
                <w:kern w:val="0"/>
                <w:lang w:val="pt-BR" w:bidi="ar-SA"/>
              </w:rPr>
            </w:pPr>
            <w:r>
              <w:rPr>
                <w:color w:val="000000"/>
                <w:kern w:val="0"/>
                <w:sz w:val="24"/>
                <w:szCs w:val="24"/>
                <w:lang w:val="pt-BR" w:bidi="ar-SA"/>
              </w:rPr>
              <w:t xml:space="preserve">Os serviços de emissão de </w:t>
            </w:r>
            <w:r>
              <w:rPr>
                <w:color w:val="000000"/>
                <w:kern w:val="0"/>
                <w:sz w:val="24"/>
                <w:lang w:val="pt-BR" w:bidi="ar-SA"/>
              </w:rPr>
              <w:t>passagens rodoviárias devem incluir:</w:t>
            </w:r>
          </w:p>
          <w:p>
            <w:pPr>
              <w:pStyle w:val="Normal"/>
              <w:widowControl/>
              <w:suppressAutoHyphens w:val="true"/>
              <w:spacing w:before="0" w:after="46"/>
              <w:jc w:val="both"/>
              <w:rPr>
                <w:kern w:val="0"/>
                <w:lang w:val="pt-BR" w:bidi="ar-SA"/>
              </w:rPr>
            </w:pPr>
            <w:r>
              <w:rPr>
                <w:color w:val="000000"/>
                <w:kern w:val="0"/>
                <w:sz w:val="24"/>
                <w:lang w:val="pt-BR" w:bidi="ar-SA"/>
              </w:rPr>
              <w:t>* Passagem rodoviária (ida e volta);</w:t>
            </w:r>
          </w:p>
          <w:p>
            <w:pPr>
              <w:pStyle w:val="Normal"/>
              <w:widowControl/>
              <w:suppressAutoHyphens w:val="true"/>
              <w:spacing w:before="0" w:after="46"/>
              <w:jc w:val="both"/>
              <w:rPr>
                <w:kern w:val="0"/>
                <w:lang w:val="pt-BR" w:bidi="ar-SA"/>
              </w:rPr>
            </w:pPr>
            <w:r>
              <w:rPr>
                <w:color w:val="000000"/>
                <w:kern w:val="0"/>
                <w:sz w:val="24"/>
                <w:lang w:val="pt-BR" w:bidi="ar-SA"/>
              </w:rPr>
              <w:t xml:space="preserve">* </w:t>
            </w:r>
            <w:r>
              <w:rPr>
                <w:color w:val="000009"/>
                <w:kern w:val="0"/>
                <w:sz w:val="24"/>
                <w:lang w:val="pt-BR" w:bidi="ar-SA"/>
              </w:rPr>
              <w:t>Reemissão de bilhete de passagem não utilizado (não embarcado), quando necessário;</w:t>
            </w:r>
          </w:p>
          <w:p>
            <w:pPr>
              <w:pStyle w:val="Normal"/>
              <w:widowControl/>
              <w:suppressAutoHyphens w:val="true"/>
              <w:spacing w:before="0" w:after="0"/>
              <w:jc w:val="both"/>
              <w:rPr>
                <w:kern w:val="0"/>
                <w:lang w:val="pt-BR" w:bidi="ar-SA"/>
              </w:rPr>
            </w:pPr>
            <w:r>
              <w:rPr>
                <w:color w:val="000009"/>
                <w:kern w:val="0"/>
                <w:sz w:val="24"/>
                <w:lang w:val="pt-BR" w:bidi="ar-SA"/>
              </w:rPr>
              <w:t>*Alteração de horário ou data do bilhete de passagem emitido, quando necessário;</w:t>
            </w:r>
          </w:p>
          <w:p>
            <w:pPr>
              <w:pStyle w:val="Normal"/>
              <w:widowControl/>
              <w:suppressAutoHyphens w:val="true"/>
              <w:spacing w:before="0" w:after="0"/>
              <w:jc w:val="both"/>
              <w:rPr>
                <w:kern w:val="0"/>
                <w:lang w:val="pt-BR" w:bidi="ar-SA"/>
              </w:rPr>
            </w:pPr>
            <w:r>
              <w:rPr>
                <w:color w:val="000009"/>
                <w:kern w:val="0"/>
                <w:sz w:val="24"/>
                <w:lang w:val="pt-BR" w:bidi="ar-SA"/>
              </w:rPr>
              <w:t>* Cancelamento de bilhete de passagem rodoviária, por Ordem;</w:t>
            </w:r>
          </w:p>
          <w:p>
            <w:pPr>
              <w:pStyle w:val="Normal"/>
              <w:widowControl/>
              <w:suppressAutoHyphens w:val="true"/>
              <w:spacing w:before="0" w:after="46"/>
              <w:jc w:val="both"/>
              <w:rPr>
                <w:color w:val="000000"/>
                <w:sz w:val="24"/>
                <w:szCs w:val="24"/>
              </w:rPr>
            </w:pPr>
            <w:r>
              <w:rPr>
                <w:color w:val="000009"/>
                <w:kern w:val="0"/>
                <w:sz w:val="24"/>
                <w:lang w:val="pt-BR" w:bidi="ar-SA"/>
              </w:rPr>
              <w:t>* O serviço de agenciamento para passagens rodoviárias será pago para a agência contratada com base no valor total da passagem subtraído do percentual fixo ofertado pelo contratado sobre o valor de uma passagem rodoviária ida e volta.</w:t>
            </w:r>
          </w:p>
        </w:tc>
        <w:tc>
          <w:tcPr>
            <w:tcW w:w="1175" w:type="dxa"/>
            <w:tcBorders/>
            <w:vAlign w:val="center"/>
          </w:tcPr>
          <w:p>
            <w:pPr>
              <w:pStyle w:val="Normal"/>
              <w:widowControl/>
              <w:suppressAutoHyphens w:val="true"/>
              <w:spacing w:lineRule="auto" w:line="360" w:before="0" w:after="0"/>
              <w:jc w:val="center"/>
              <w:rPr>
                <w:sz w:val="24"/>
                <w:szCs w:val="24"/>
              </w:rPr>
            </w:pPr>
            <w:r>
              <w:rPr>
                <w:kern w:val="0"/>
                <w:sz w:val="24"/>
                <w:szCs w:val="24"/>
                <w:lang w:val="pt-BR" w:bidi="ar-SA"/>
              </w:rPr>
              <w:t>Serv</w:t>
            </w:r>
          </w:p>
        </w:tc>
        <w:tc>
          <w:tcPr>
            <w:tcW w:w="2111" w:type="dxa"/>
            <w:tcBorders>
              <w:right w:val="nil"/>
            </w:tcBorders>
            <w:vAlign w:val="center"/>
          </w:tcPr>
          <w:p>
            <w:pPr>
              <w:pStyle w:val="Normal"/>
              <w:widowControl/>
              <w:suppressAutoHyphens w:val="true"/>
              <w:spacing w:lineRule="auto" w:line="360" w:before="0" w:after="0"/>
              <w:ind w:left="113" w:right="57"/>
              <w:jc w:val="center"/>
              <w:rPr>
                <w:sz w:val="24"/>
                <w:szCs w:val="24"/>
              </w:rPr>
            </w:pPr>
            <w:r>
              <w:rPr>
                <w:kern w:val="0"/>
                <w:sz w:val="24"/>
                <w:szCs w:val="24"/>
                <w:lang w:val="pt-BR" w:bidi="ar-SA"/>
              </w:rPr>
              <w:t>R$ 50.000,00</w:t>
            </w:r>
          </w:p>
        </w:tc>
        <w:tc>
          <w:tcPr>
            <w:tcW w:w="1413" w:type="dxa"/>
            <w:tcBorders/>
            <w:vAlign w:val="center"/>
          </w:tcPr>
          <w:p>
            <w:pPr>
              <w:pStyle w:val="Normal"/>
              <w:widowControl/>
              <w:suppressAutoHyphens w:val="true"/>
              <w:spacing w:lineRule="auto" w:line="360" w:before="0" w:after="0"/>
              <w:ind w:left="113" w:right="57"/>
              <w:jc w:val="center"/>
              <w:rPr>
                <w:sz w:val="24"/>
                <w:szCs w:val="24"/>
              </w:rPr>
            </w:pPr>
            <w:r>
              <w:rPr>
                <w:kern w:val="0"/>
                <w:sz w:val="24"/>
                <w:szCs w:val="24"/>
                <w:lang w:val="pt-BR" w:bidi="ar-SA"/>
              </w:rPr>
              <w:t xml:space="preserve">R$ </w:t>
            </w:r>
            <w:r>
              <w:rPr>
                <w:kern w:val="0"/>
                <w:sz w:val="24"/>
                <w:szCs w:val="24"/>
                <w:lang w:val="pt-BR" w:bidi="ar-SA"/>
              </w:rPr>
              <w:t>2,004</w:t>
            </w:r>
          </w:p>
        </w:tc>
      </w:tr>
      <w:tr>
        <w:trPr>
          <w:trHeight w:val="350" w:hRule="atLeast"/>
        </w:trPr>
        <w:tc>
          <w:tcPr>
            <w:tcW w:w="6846" w:type="dxa"/>
            <w:gridSpan w:val="3"/>
            <w:tcBorders/>
            <w:vAlign w:val="center"/>
          </w:tcPr>
          <w:p>
            <w:pPr>
              <w:pStyle w:val="Normal"/>
              <w:widowControl/>
              <w:suppressAutoHyphens w:val="true"/>
              <w:spacing w:lineRule="auto" w:line="360" w:before="0" w:after="0"/>
              <w:jc w:val="center"/>
              <w:rPr>
                <w:sz w:val="24"/>
                <w:szCs w:val="24"/>
              </w:rPr>
            </w:pPr>
            <w:r>
              <w:rPr>
                <w:kern w:val="0"/>
                <w:sz w:val="24"/>
                <w:szCs w:val="24"/>
                <w:lang w:val="pt-BR" w:bidi="ar-SA"/>
              </w:rPr>
              <w:t>TOTAL</w:t>
            </w:r>
          </w:p>
        </w:tc>
        <w:tc>
          <w:tcPr>
            <w:tcW w:w="2111" w:type="dxa"/>
            <w:tcBorders>
              <w:right w:val="nil"/>
            </w:tcBorders>
            <w:vAlign w:val="center"/>
          </w:tcPr>
          <w:p>
            <w:pPr>
              <w:pStyle w:val="Normal"/>
              <w:widowControl/>
              <w:suppressAutoHyphens w:val="true"/>
              <w:spacing w:lineRule="auto" w:line="360" w:before="0" w:after="0"/>
              <w:ind w:left="113" w:right="57"/>
              <w:jc w:val="center"/>
              <w:rPr>
                <w:sz w:val="24"/>
                <w:szCs w:val="24"/>
              </w:rPr>
            </w:pPr>
            <w:r>
              <w:rPr>
                <w:kern w:val="0"/>
                <w:sz w:val="24"/>
                <w:szCs w:val="24"/>
                <w:lang w:val="pt-BR" w:bidi="ar-SA"/>
              </w:rPr>
              <w:t>R$ 278.000,00</w:t>
            </w:r>
          </w:p>
        </w:tc>
        <w:tc>
          <w:tcPr>
            <w:tcW w:w="1413" w:type="dxa"/>
            <w:tcBorders/>
            <w:vAlign w:val="center"/>
          </w:tcPr>
          <w:p>
            <w:pPr>
              <w:pStyle w:val="Normal"/>
              <w:widowControl/>
              <w:suppressAutoHyphens w:val="true"/>
              <w:spacing w:lineRule="auto" w:line="360" w:before="0" w:after="0"/>
              <w:ind w:left="113" w:right="57"/>
              <w:jc w:val="center"/>
              <w:rPr>
                <w:sz w:val="24"/>
                <w:szCs w:val="24"/>
              </w:rPr>
            </w:pPr>
            <w:r>
              <w:rPr/>
            </w:r>
          </w:p>
        </w:tc>
      </w:tr>
    </w:tbl>
    <w:p>
      <w:pPr>
        <w:pStyle w:val="Normal"/>
        <w:spacing w:before="0" w:after="120"/>
        <w:ind w:firstLine="709"/>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pBdr>
          <w:top w:val="single" w:sz="4" w:space="1" w:color="000000"/>
          <w:left w:val="single" w:sz="4" w:space="4" w:color="000000"/>
          <w:bottom w:val="single" w:sz="4" w:space="1" w:color="000000"/>
          <w:right w:val="single" w:sz="4" w:space="4" w:color="000000"/>
        </w:pBdr>
        <w:shd w:val="clear" w:color="auto" w:fill="A6A6A6" w:themeFill="background1" w:themeFillShade="a6"/>
        <w:spacing w:lineRule="auto" w:line="276"/>
        <w:ind w:hanging="142" w:left="142"/>
        <w:jc w:val="both"/>
        <w:rPr>
          <w:b/>
          <w:bCs/>
          <w:sz w:val="24"/>
          <w:szCs w:val="24"/>
        </w:rPr>
      </w:pPr>
      <w:r>
        <w:rPr>
          <w:b/>
          <w:bCs/>
          <w:sz w:val="24"/>
          <w:szCs w:val="24"/>
        </w:rPr>
        <w:t>6. LOCAL, PRAZO DE ENTREGA E EXECUÇÃO</w:t>
      </w:r>
    </w:p>
    <w:p>
      <w:pPr>
        <w:pStyle w:val="Normal"/>
        <w:spacing w:lineRule="auto" w:line="360"/>
        <w:ind w:left="57" w:right="-850"/>
        <w:jc w:val="both"/>
        <w:rPr/>
      </w:pPr>
      <w:r>
        <w:rPr>
          <w:color w:val="111111"/>
          <w:sz w:val="24"/>
          <w:szCs w:val="24"/>
        </w:rPr>
        <w:t>6. METODOLOGIA DE TRABALHO</w:t>
      </w:r>
    </w:p>
    <w:p>
      <w:pPr>
        <w:pStyle w:val="Normal"/>
        <w:spacing w:lineRule="auto" w:line="276"/>
        <w:ind w:right="57"/>
        <w:jc w:val="both"/>
        <w:rPr>
          <w:b/>
          <w:bCs/>
        </w:rPr>
      </w:pPr>
      <w:r>
        <w:rPr>
          <w:b/>
          <w:bCs/>
          <w:color w:val="111111"/>
          <w:sz w:val="24"/>
          <w:szCs w:val="24"/>
        </w:rPr>
        <w:t>6.1 Solicitação de Reservas</w:t>
      </w:r>
    </w:p>
    <w:p>
      <w:pPr>
        <w:pStyle w:val="Normal"/>
        <w:spacing w:lineRule="auto" w:line="276"/>
        <w:ind w:right="57"/>
        <w:jc w:val="both"/>
        <w:rPr/>
      </w:pPr>
      <w:r>
        <w:rPr>
          <w:color w:val="111111"/>
          <w:sz w:val="24"/>
          <w:szCs w:val="24"/>
        </w:rPr>
        <w:t>6.1.1 As reservas de voos serão feitas pela CONTRATADA mediante solicitação do Conselho Regional de Odontologia do Estado de Mato Grosso, representado pelo Fiscal de Contratos.</w:t>
      </w:r>
    </w:p>
    <w:p>
      <w:pPr>
        <w:pStyle w:val="Normal"/>
        <w:spacing w:lineRule="auto" w:line="276"/>
        <w:ind w:right="57"/>
        <w:jc w:val="both"/>
        <w:rPr/>
      </w:pPr>
      <w:r>
        <w:rPr>
          <w:color w:val="111111"/>
          <w:sz w:val="24"/>
          <w:szCs w:val="24"/>
        </w:rPr>
        <w:t>6.1.2 Mediante a solicitação do CRO/MT, a CONTRATADA deverá apresentar, via e-mail, demonstrativo de todas as opções de vôos e passagens terrestres com as devidas conexões e/ou escalas, horários de partida e chegada, inclusive tarifas e taxas de embarque discriminadas por companhia aérea e rodoviária para o trecho solicitado;</w:t>
      </w:r>
    </w:p>
    <w:p>
      <w:pPr>
        <w:pStyle w:val="Normal"/>
        <w:spacing w:lineRule="auto" w:line="276"/>
        <w:ind w:right="57"/>
        <w:jc w:val="both"/>
        <w:rPr/>
      </w:pPr>
      <w:r>
        <w:rPr>
          <w:color w:val="111111"/>
          <w:sz w:val="24"/>
          <w:szCs w:val="24"/>
        </w:rPr>
        <w:t xml:space="preserve">6.1.3 Feita a análise e seleção da melhor opção, o Fiscal do Contrato fará a solicitação da reserva, indicando o nome e demais dados pessoais necessários dos beneficiários; </w:t>
      </w:r>
    </w:p>
    <w:p>
      <w:pPr>
        <w:pStyle w:val="Normal"/>
        <w:spacing w:lineRule="auto" w:line="276"/>
        <w:ind w:right="57"/>
        <w:jc w:val="both"/>
        <w:rPr/>
      </w:pPr>
      <w:r>
        <w:rPr>
          <w:color w:val="111111"/>
          <w:sz w:val="24"/>
          <w:szCs w:val="24"/>
        </w:rPr>
        <w:t xml:space="preserve">6.1.4 As reservas deverão ser confirmadas pela contratada em até 2 (duas) horas contadas a partir da solicitação, mediante o envio de demonstrativo das reservas, no qual deve constar, além dos nomes dos beneficiários, os números dos voos escolhidos, percursos e horários, bem como as tarifas correspondentes e as taxas de embarque discriminadas; </w:t>
      </w:r>
    </w:p>
    <w:p>
      <w:pPr>
        <w:pStyle w:val="Normal"/>
        <w:spacing w:lineRule="auto" w:line="276"/>
        <w:ind w:right="57"/>
        <w:jc w:val="both"/>
        <w:rPr/>
      </w:pPr>
      <w:r>
        <w:rPr>
          <w:color w:val="111111"/>
          <w:sz w:val="24"/>
          <w:szCs w:val="24"/>
        </w:rPr>
        <w:t xml:space="preserve">6.1.5 Na fase de solicitação de reservas, os contatos entre o Conselho e a contratada deverão se realizar, preferencialmente, por telefone, e-mail ou outro meio mais célere, sendo necessariamente emitidos os documentos citados por meio de e-mail; </w:t>
      </w:r>
    </w:p>
    <w:p>
      <w:pPr>
        <w:pStyle w:val="Normal"/>
        <w:spacing w:lineRule="auto" w:line="276"/>
        <w:ind w:right="57"/>
        <w:jc w:val="both"/>
        <w:rPr/>
      </w:pPr>
      <w:r>
        <w:rPr>
          <w:color w:val="111111"/>
          <w:sz w:val="24"/>
          <w:szCs w:val="24"/>
        </w:rPr>
        <w:t xml:space="preserve">6.1.6 A CONTRATADA deve providenciar, diariamente, a reativação da reserva a fim de garantir o valor da tarifa mais econômica da passagem. </w:t>
      </w:r>
    </w:p>
    <w:p>
      <w:pPr>
        <w:pStyle w:val="Normal"/>
        <w:jc w:val="both"/>
        <w:rPr>
          <w:color w:val="000000"/>
          <w:sz w:val="22"/>
        </w:rPr>
      </w:pPr>
      <w:r>
        <w:rPr>
          <w:color w:val="000000"/>
          <w:sz w:val="22"/>
        </w:rPr>
      </w:r>
    </w:p>
    <w:p>
      <w:pPr>
        <w:pStyle w:val="Normal"/>
        <w:spacing w:lineRule="auto" w:line="276"/>
        <w:ind w:left="57" w:right="-850"/>
        <w:jc w:val="both"/>
        <w:rPr>
          <w:b/>
          <w:bCs/>
        </w:rPr>
      </w:pPr>
      <w:r>
        <w:rPr>
          <w:b/>
          <w:bCs/>
          <w:color w:val="111111"/>
          <w:sz w:val="24"/>
        </w:rPr>
        <w:t>6.2 Solicitação de Remarcação ou Cancelamento.</w:t>
      </w:r>
    </w:p>
    <w:p>
      <w:pPr>
        <w:pStyle w:val="Normal"/>
        <w:spacing w:lineRule="auto" w:line="276"/>
        <w:ind w:left="57" w:right="57"/>
        <w:jc w:val="both"/>
        <w:rPr/>
      </w:pPr>
      <w:r>
        <w:rPr>
          <w:color w:val="111111"/>
          <w:sz w:val="24"/>
        </w:rPr>
        <w:t xml:space="preserve">6.2.1 O CROMT poderá </w:t>
      </w:r>
      <w:r>
        <w:rPr>
          <w:color w:val="000000"/>
          <w:sz w:val="22"/>
        </w:rPr>
        <w:t xml:space="preserve">rejeitar no todo ou em parte, as reservas executadas em desacordo com as solicitações do </w:t>
      </w:r>
      <w:r>
        <w:rPr>
          <w:color w:val="000000"/>
          <w:sz w:val="24"/>
          <w:szCs w:val="24"/>
        </w:rPr>
        <w:t xml:space="preserve">setor competente, exigindo inclusive a remarcação ou cancelamento das mesmas; </w:t>
      </w:r>
    </w:p>
    <w:p>
      <w:pPr>
        <w:pStyle w:val="Normal"/>
        <w:spacing w:lineRule="auto" w:line="276"/>
        <w:ind w:left="57" w:right="-850"/>
        <w:jc w:val="both"/>
        <w:rPr>
          <w:sz w:val="24"/>
          <w:szCs w:val="24"/>
        </w:rPr>
      </w:pPr>
      <w:r>
        <w:rPr>
          <w:color w:val="111111"/>
          <w:sz w:val="24"/>
          <w:szCs w:val="24"/>
        </w:rPr>
        <w:t xml:space="preserve">6.2.2 A </w:t>
      </w:r>
      <w:r>
        <w:rPr>
          <w:color w:val="000000"/>
          <w:sz w:val="24"/>
          <w:szCs w:val="24"/>
        </w:rPr>
        <w:t xml:space="preserve">remarcação ou cancelamento poderá ser motivada também por conveniência do CROMT; </w:t>
      </w:r>
    </w:p>
    <w:p>
      <w:pPr>
        <w:pStyle w:val="Default"/>
        <w:numPr>
          <w:ilvl w:val="0"/>
          <w:numId w:val="14"/>
        </w:numPr>
        <w:ind w:hanging="0" w:left="57"/>
        <w:jc w:val="both"/>
        <w:rPr/>
      </w:pPr>
      <w:r>
        <w:rPr/>
        <w:t>6.2.3</w:t>
      </w:r>
      <w:r>
        <w:rPr>
          <w:b/>
        </w:rPr>
        <w:t xml:space="preserve"> </w:t>
      </w:r>
      <w:r>
        <w:rPr/>
        <w:t xml:space="preserve">Em qualquer caso, em se tratando de remarcação ou cancelamento de reservas, os procedimentos adotados pelas partes deverão seguir os ritos estabelecidos no item 6.1. </w:t>
      </w:r>
    </w:p>
    <w:p>
      <w:pPr>
        <w:pStyle w:val="Normal"/>
        <w:spacing w:lineRule="auto" w:line="276"/>
        <w:ind w:left="57" w:right="-850"/>
        <w:jc w:val="both"/>
        <w:rPr>
          <w:color w:val="111111"/>
          <w:sz w:val="24"/>
        </w:rPr>
      </w:pPr>
      <w:r>
        <w:rPr>
          <w:color w:val="111111"/>
          <w:sz w:val="24"/>
        </w:rPr>
      </w:r>
    </w:p>
    <w:p>
      <w:pPr>
        <w:pStyle w:val="Normal"/>
        <w:spacing w:lineRule="auto" w:line="276"/>
        <w:ind w:left="57" w:right="-850"/>
        <w:jc w:val="both"/>
        <w:rPr>
          <w:b/>
          <w:bCs/>
          <w:sz w:val="24"/>
          <w:szCs w:val="24"/>
        </w:rPr>
      </w:pPr>
      <w:r>
        <w:rPr>
          <w:b/>
          <w:bCs/>
          <w:color w:val="111111"/>
          <w:sz w:val="24"/>
          <w:szCs w:val="24"/>
        </w:rPr>
        <w:t>6.3 Emissão e entrega de passagem.</w:t>
      </w:r>
    </w:p>
    <w:p>
      <w:pPr>
        <w:pStyle w:val="Normal"/>
        <w:spacing w:lineRule="auto" w:line="276"/>
        <w:ind w:right="57"/>
        <w:jc w:val="both"/>
        <w:rPr/>
      </w:pPr>
      <w:r>
        <w:rPr>
          <w:color w:val="111111"/>
          <w:sz w:val="24"/>
          <w:szCs w:val="24"/>
        </w:rPr>
        <w:t xml:space="preserve">6.3.1 </w:t>
      </w:r>
      <w:r>
        <w:rPr>
          <w:color w:val="000000"/>
          <w:sz w:val="24"/>
          <w:szCs w:val="24"/>
        </w:rPr>
        <w:t xml:space="preserve">A passagem só poderá ser emitida mediante solicitação por escrito do CROMT, na qual deverão constar os dados referentes ao (s) voo (s) selecionados, bem como o nome dos membros, servidores ou colaboradores a quem se destinam; </w:t>
      </w:r>
    </w:p>
    <w:p>
      <w:pPr>
        <w:pStyle w:val="Default"/>
        <w:spacing w:before="0" w:after="142"/>
        <w:jc w:val="both"/>
        <w:rPr/>
      </w:pPr>
      <w:r>
        <w:rPr>
          <w:rFonts w:eastAsia="Times New Roman"/>
          <w:lang w:eastAsia="pt-BR"/>
        </w:rPr>
        <w:t>6.3.2 A emissão de passagem, sem a autorização conjunta e expressa do Fiscal do Contrato, é de inteira responsabilidade da CONTRATADA, sem direito ao pagamento com recursos financeiros à conta do CROMT;</w:t>
      </w:r>
      <w:r>
        <w:rPr/>
        <w:t xml:space="preserve"> </w:t>
      </w:r>
    </w:p>
    <w:p>
      <w:pPr>
        <w:pStyle w:val="Default"/>
        <w:spacing w:before="0" w:after="142"/>
        <w:jc w:val="both"/>
        <w:rPr/>
      </w:pPr>
      <w:r>
        <w:rPr/>
        <w:t xml:space="preserve">6.3.3 O prazo para entrega ou envio do localizador da passagem será de no máximo 02 (duas) horas após a solicitação da emissão no caso de viagens nacionais e 5 (cinco) horas para viagens internacionais; </w:t>
      </w:r>
    </w:p>
    <w:p>
      <w:pPr>
        <w:pStyle w:val="Default"/>
        <w:spacing w:before="0" w:after="142"/>
        <w:jc w:val="both"/>
        <w:rPr/>
      </w:pPr>
      <w:r>
        <w:rPr/>
        <w:t xml:space="preserve">6.3.4 A entrega da passagem deverá ser feita ao gestor do contrato, ou a servidor por ele indicado, via e-mail ou, quando impossível, no endereço do beneficiário ou no local indicado pelo requisitante; </w:t>
      </w:r>
    </w:p>
    <w:p>
      <w:pPr>
        <w:pStyle w:val="Default"/>
        <w:spacing w:before="0" w:after="142"/>
        <w:jc w:val="both"/>
        <w:rPr/>
      </w:pPr>
      <w:r>
        <w:rPr/>
        <w:t xml:space="preserve">6.3.5 Em casos excepcionais e a critério do Conselho, a entrega da passagem deverá ser efetuada no endereço do beneficiário ou no local indicado pelo requisitante. </w:t>
      </w:r>
    </w:p>
    <w:p>
      <w:pPr>
        <w:pStyle w:val="Default"/>
        <w:spacing w:before="0" w:after="142"/>
        <w:jc w:val="both"/>
        <w:rPr/>
      </w:pPr>
      <w:r>
        <w:rPr/>
        <w:t xml:space="preserve">6.3.6 Em caso de pane no sistema informatizado da companhia ou da CONTRATADA, e se o prazo para entrega da passagem for escasso, a empresa deverá dirigir-se diretamente ao aeroporto ou sede da respectiva companhia aérea e rodoviária para emissão da mesma; </w:t>
      </w:r>
    </w:p>
    <w:p>
      <w:pPr>
        <w:pStyle w:val="Default"/>
        <w:jc w:val="both"/>
        <w:rPr/>
      </w:pPr>
      <w:r>
        <w:rPr/>
        <w:t xml:space="preserve">6.3.7 A passagem que apresentar qualquer irregularidade deverá ser substituída no prazo máximo de 03 (três) horas, contadas a partir da comunicação, por escrito, do CROMT; </w:t>
      </w:r>
    </w:p>
    <w:p>
      <w:pPr>
        <w:pStyle w:val="Default"/>
        <w:ind w:left="360"/>
        <w:jc w:val="both"/>
        <w:rPr/>
      </w:pPr>
      <w:r>
        <w:rPr/>
      </w:r>
    </w:p>
    <w:p>
      <w:pPr>
        <w:pStyle w:val="Default"/>
        <w:jc w:val="both"/>
        <w:rPr/>
      </w:pPr>
      <w:r>
        <w:rPr/>
        <w:t xml:space="preserve">6.3.8 CONTRATADA compromete-se a reembolsar à CONTRATANTE a passagem não utilizada, devido à mudança de programação, ou emitir outra de mesmo valor, para outro trecho e beneficiário, segundo opção da CONTRATANTE. </w:t>
      </w:r>
    </w:p>
    <w:p>
      <w:pPr>
        <w:pStyle w:val="Default"/>
        <w:jc w:val="both"/>
        <w:rPr/>
      </w:pPr>
      <w:r>
        <w:rPr/>
      </w:r>
    </w:p>
    <w:p>
      <w:pPr>
        <w:pStyle w:val="Default"/>
        <w:jc w:val="both"/>
        <w:rPr/>
      </w:pPr>
      <w:r>
        <w:rPr/>
        <w:t>6.4 Da Garantia Contratual:</w:t>
      </w:r>
    </w:p>
    <w:p>
      <w:pPr>
        <w:pStyle w:val="ListParagraph"/>
        <w:tabs>
          <w:tab w:val="clear" w:pos="708"/>
          <w:tab w:val="left" w:pos="142" w:leader="none"/>
        </w:tabs>
        <w:spacing w:lineRule="auto" w:line="276" w:before="0" w:after="200"/>
        <w:ind w:left="0"/>
        <w:contextualSpacing/>
        <w:jc w:val="both"/>
        <w:rPr>
          <w:sz w:val="24"/>
          <w:szCs w:val="24"/>
        </w:rPr>
      </w:pPr>
      <w:r>
        <w:rPr>
          <w:sz w:val="24"/>
          <w:szCs w:val="24"/>
        </w:rPr>
        <w:t xml:space="preserve">6.4.1 Não haverá garantia para esse processo. </w:t>
      </w:r>
    </w:p>
    <w:p>
      <w:pPr>
        <w:pStyle w:val="ListParagraph"/>
        <w:tabs>
          <w:tab w:val="clear" w:pos="708"/>
          <w:tab w:val="left" w:pos="142" w:leader="none"/>
        </w:tabs>
        <w:spacing w:lineRule="auto" w:line="276" w:before="0" w:after="200"/>
        <w:ind w:left="360"/>
        <w:contextualSpacing/>
        <w:jc w:val="both"/>
        <w:rPr>
          <w:sz w:val="24"/>
          <w:szCs w:val="24"/>
        </w:rPr>
      </w:pPr>
      <w:r>
        <w:rPr>
          <w:sz w:val="24"/>
          <w:szCs w:val="24"/>
        </w:rPr>
      </w:r>
    </w:p>
    <w:p>
      <w:pPr>
        <w:pStyle w:val="ListParagraph"/>
        <w:tabs>
          <w:tab w:val="clear" w:pos="708"/>
          <w:tab w:val="left" w:pos="142" w:leader="none"/>
        </w:tabs>
        <w:spacing w:lineRule="auto" w:line="276" w:before="0" w:after="200"/>
        <w:ind w:left="0"/>
        <w:contextualSpacing/>
        <w:jc w:val="both"/>
        <w:rPr>
          <w:sz w:val="24"/>
          <w:szCs w:val="24"/>
        </w:rPr>
      </w:pPr>
      <w:r>
        <w:rPr>
          <w:sz w:val="24"/>
          <w:szCs w:val="24"/>
        </w:rPr>
        <w:t>6.5 Da Subcontratação:</w:t>
      </w:r>
    </w:p>
    <w:p>
      <w:pPr>
        <w:pStyle w:val="ListParagraph"/>
        <w:tabs>
          <w:tab w:val="clear" w:pos="708"/>
          <w:tab w:val="left" w:pos="142" w:leader="none"/>
        </w:tabs>
        <w:spacing w:lineRule="auto" w:line="276" w:before="0" w:after="200"/>
        <w:ind w:left="0"/>
        <w:contextualSpacing/>
        <w:jc w:val="both"/>
        <w:rPr>
          <w:sz w:val="24"/>
          <w:szCs w:val="24"/>
        </w:rPr>
      </w:pPr>
      <w:bookmarkStart w:id="14" w:name="_Hlk156466010"/>
      <w:r>
        <w:rPr>
          <w:sz w:val="24"/>
          <w:szCs w:val="24"/>
        </w:rPr>
        <w:t xml:space="preserve">6.5.1 Não será permitida a subcontratação no todo ou em parte do objeto deste certame. </w:t>
      </w:r>
      <w:bookmarkEnd w:id="14"/>
    </w:p>
    <w:p>
      <w:pPr>
        <w:pStyle w:val="ListParagraph"/>
        <w:tabs>
          <w:tab w:val="clear" w:pos="708"/>
          <w:tab w:val="left" w:pos="142" w:leader="none"/>
        </w:tabs>
        <w:spacing w:lineRule="auto" w:line="276" w:before="0" w:after="200"/>
        <w:contextualSpacing/>
        <w:jc w:val="both"/>
        <w:rPr>
          <w:sz w:val="24"/>
          <w:szCs w:val="24"/>
        </w:rPr>
      </w:pPr>
      <w:r>
        <w:rPr>
          <w:sz w:val="24"/>
          <w:szCs w:val="24"/>
        </w:rPr>
      </w:r>
    </w:p>
    <w:p>
      <w:pPr>
        <w:pStyle w:val="ListParagraph"/>
        <w:numPr>
          <w:ilvl w:val="1"/>
          <w:numId w:val="1"/>
        </w:numPr>
        <w:tabs>
          <w:tab w:val="clear" w:pos="708"/>
          <w:tab w:val="left" w:pos="142" w:leader="none"/>
        </w:tabs>
        <w:spacing w:lineRule="auto" w:line="276" w:before="0" w:after="200"/>
        <w:contextualSpacing/>
        <w:jc w:val="both"/>
        <w:rPr>
          <w:vanish/>
          <w:sz w:val="24"/>
          <w:szCs w:val="24"/>
        </w:rPr>
      </w:pPr>
      <w:r>
        <w:rPr>
          <w:vanish/>
          <w:sz w:val="24"/>
          <w:szCs w:val="24"/>
        </w:rPr>
      </w:r>
    </w:p>
    <w:p>
      <w:pPr>
        <w:pStyle w:val="Normal"/>
        <w:pBdr>
          <w:top w:val="single" w:sz="4" w:space="1" w:color="000000"/>
          <w:left w:val="single" w:sz="4" w:space="4" w:color="000000"/>
          <w:bottom w:val="single" w:sz="4" w:space="1" w:color="000000"/>
          <w:right w:val="single" w:sz="4" w:space="4" w:color="000000"/>
        </w:pBdr>
        <w:shd w:val="clear" w:color="auto" w:fill="A6A6A6" w:themeFill="background1" w:themeFillShade="a6"/>
        <w:spacing w:lineRule="auto" w:line="276"/>
        <w:ind w:hanging="142" w:left="142"/>
        <w:jc w:val="both"/>
        <w:rPr>
          <w:b/>
          <w:bCs/>
          <w:sz w:val="24"/>
          <w:szCs w:val="24"/>
        </w:rPr>
      </w:pPr>
      <w:r>
        <w:rPr>
          <w:b/>
          <w:bCs/>
          <w:sz w:val="24"/>
          <w:szCs w:val="24"/>
        </w:rPr>
        <w:t>7. DA OBRIGAÇÕES DA CONTRATANTE</w:t>
      </w:r>
    </w:p>
    <w:p>
      <w:pPr>
        <w:pStyle w:val="Normal"/>
        <w:widowControl w:val="false"/>
        <w:tabs>
          <w:tab w:val="clear" w:pos="708"/>
          <w:tab w:val="left" w:pos="932" w:leader="none"/>
        </w:tabs>
        <w:spacing w:lineRule="auto" w:line="276"/>
        <w:jc w:val="both"/>
        <w:rPr>
          <w:sz w:val="24"/>
          <w:szCs w:val="24"/>
        </w:rPr>
      </w:pPr>
      <w:r>
        <w:rPr>
          <w:bCs/>
          <w:sz w:val="24"/>
          <w:szCs w:val="24"/>
          <w:lang w:val="pt-PT"/>
        </w:rPr>
        <w:t xml:space="preserve">7.1 </w:t>
      </w:r>
      <w:r>
        <w:rPr>
          <w:color w:val="000000"/>
          <w:sz w:val="24"/>
          <w:szCs w:val="24"/>
        </w:rPr>
        <w:t>Proporcionar todas as facilidades para que a CONTRATADA possa desempenhar seus serviços, dentro das normas do contrato assinado;</w:t>
      </w:r>
    </w:p>
    <w:p>
      <w:pPr>
        <w:pStyle w:val="Normal"/>
        <w:widowControl w:val="false"/>
        <w:tabs>
          <w:tab w:val="clear" w:pos="708"/>
          <w:tab w:val="left" w:pos="932" w:leader="none"/>
        </w:tabs>
        <w:spacing w:lineRule="auto" w:line="276"/>
        <w:jc w:val="both"/>
        <w:rPr>
          <w:sz w:val="24"/>
          <w:szCs w:val="24"/>
        </w:rPr>
      </w:pPr>
      <w:r>
        <w:rPr>
          <w:color w:val="000000"/>
          <w:sz w:val="24"/>
          <w:szCs w:val="24"/>
        </w:rPr>
        <w:t>7.2 Dirimir todos os questionamentos e/ou dúvidas da CONTRATADA, através da fiscalização do contrato;</w:t>
      </w:r>
    </w:p>
    <w:p>
      <w:pPr>
        <w:pStyle w:val="Normal"/>
        <w:widowControl w:val="false"/>
        <w:tabs>
          <w:tab w:val="clear" w:pos="708"/>
          <w:tab w:val="left" w:pos="932" w:leader="none"/>
        </w:tabs>
        <w:spacing w:lineRule="auto" w:line="276"/>
        <w:jc w:val="both"/>
        <w:rPr>
          <w:sz w:val="24"/>
          <w:szCs w:val="24"/>
        </w:rPr>
      </w:pPr>
      <w:r>
        <w:rPr>
          <w:color w:val="000000"/>
          <w:sz w:val="24"/>
          <w:szCs w:val="24"/>
        </w:rPr>
        <w:t>7.3 Solicitar à contratada formalmente, em tempo hábil, por e-mail ou outro meio eletrônico, a disponibilidade de passagens aérea e rodoviárias, bem como a emissão dos bilhetes eletrônicos, observado o que dispõem na cláusula de pagamento;</w:t>
      </w:r>
    </w:p>
    <w:p>
      <w:pPr>
        <w:pStyle w:val="Normal"/>
        <w:widowControl w:val="false"/>
        <w:tabs>
          <w:tab w:val="clear" w:pos="708"/>
          <w:tab w:val="left" w:pos="932" w:leader="none"/>
        </w:tabs>
        <w:spacing w:lineRule="auto" w:line="276"/>
        <w:jc w:val="both"/>
        <w:rPr>
          <w:color w:val="000000"/>
          <w:sz w:val="24"/>
          <w:szCs w:val="24"/>
        </w:rPr>
      </w:pPr>
      <w:r>
        <w:rPr>
          <w:color w:val="000000"/>
          <w:sz w:val="24"/>
          <w:szCs w:val="24"/>
        </w:rPr>
        <w:t>7.4 Efetuar os pagamentos nas condições e preços pactuados.</w:t>
      </w:r>
    </w:p>
    <w:p>
      <w:pPr>
        <w:pStyle w:val="Normal"/>
        <w:widowControl w:val="false"/>
        <w:tabs>
          <w:tab w:val="clear" w:pos="708"/>
          <w:tab w:val="left" w:pos="932" w:leader="none"/>
        </w:tabs>
        <w:spacing w:lineRule="auto" w:line="276"/>
        <w:jc w:val="both"/>
        <w:rPr>
          <w:color w:val="000000"/>
          <w:sz w:val="24"/>
          <w:szCs w:val="24"/>
        </w:rPr>
      </w:pPr>
      <w:r>
        <w:rPr>
          <w:color w:val="000000"/>
          <w:sz w:val="24"/>
          <w:szCs w:val="24"/>
        </w:rPr>
        <w:t xml:space="preserve">7.5 Promover, na forma da Lei Federal 14.133/2021, o acompanhamento e a fiscalização da execução do objeto do contrato, anotando em registro próprio, as falhas detectadas e comunicando as ocorrências de quaisquer fatos que, a seu critério, exijam medidas corretivas por parte da contratada. A existência de fiscalização do CROMT de modo algum atenua ou exime de responsabilidade a CONTRATADA, por qualquer falha na execução do contrato. </w:t>
      </w:r>
    </w:p>
    <w:p>
      <w:pPr>
        <w:pStyle w:val="Normal"/>
        <w:widowControl w:val="false"/>
        <w:tabs>
          <w:tab w:val="clear" w:pos="708"/>
          <w:tab w:val="left" w:pos="932" w:leader="none"/>
        </w:tabs>
        <w:spacing w:lineRule="auto" w:line="276"/>
        <w:jc w:val="both"/>
        <w:rPr>
          <w:sz w:val="24"/>
          <w:szCs w:val="24"/>
        </w:rPr>
      </w:pPr>
      <w:r>
        <w:rPr>
          <w:color w:val="000000"/>
          <w:sz w:val="24"/>
          <w:szCs w:val="24"/>
        </w:rPr>
        <w:t>7.6 Direitos do Contratante:</w:t>
      </w:r>
    </w:p>
    <w:p>
      <w:pPr>
        <w:pStyle w:val="Normal"/>
        <w:widowControl w:val="false"/>
        <w:tabs>
          <w:tab w:val="clear" w:pos="708"/>
          <w:tab w:val="left" w:pos="932" w:leader="none"/>
        </w:tabs>
        <w:spacing w:lineRule="auto" w:line="276"/>
        <w:ind w:left="705"/>
        <w:jc w:val="both"/>
        <w:rPr>
          <w:sz w:val="24"/>
          <w:szCs w:val="24"/>
        </w:rPr>
      </w:pPr>
      <w:r>
        <w:rPr>
          <w:color w:val="000000"/>
          <w:sz w:val="24"/>
          <w:szCs w:val="24"/>
        </w:rPr>
        <w:t>Rejeitar, no todo ou em parte, os serviços executados em desacordo com as exigências destas especificações técnicas;</w:t>
      </w:r>
    </w:p>
    <w:p>
      <w:pPr>
        <w:pStyle w:val="Normal"/>
        <w:widowControl w:val="false"/>
        <w:tabs>
          <w:tab w:val="clear" w:pos="708"/>
          <w:tab w:val="left" w:pos="932" w:leader="none"/>
        </w:tabs>
        <w:spacing w:lineRule="auto" w:line="276"/>
        <w:ind w:left="705"/>
        <w:jc w:val="both"/>
        <w:rPr/>
      </w:pPr>
      <w:r>
        <w:rPr>
          <w:color w:val="000000"/>
          <w:sz w:val="24"/>
          <w:szCs w:val="24"/>
        </w:rPr>
        <w:t xml:space="preserve">Solicitar, sempre que julgar necessário, a comprovação do valor vigente das tarifas, à data da emissão da passagem. </w:t>
      </w:r>
    </w:p>
    <w:p>
      <w:pPr>
        <w:pStyle w:val="Normal"/>
        <w:widowControl w:val="false"/>
        <w:tabs>
          <w:tab w:val="clear" w:pos="708"/>
          <w:tab w:val="left" w:pos="932" w:leader="none"/>
        </w:tabs>
        <w:spacing w:lineRule="auto" w:line="276"/>
        <w:ind w:left="720"/>
        <w:jc w:val="both"/>
        <w:rPr>
          <w:color w:val="000000"/>
          <w:sz w:val="24"/>
          <w:szCs w:val="24"/>
        </w:rPr>
      </w:pPr>
      <w:r>
        <w:rPr>
          <w:color w:val="000000"/>
          <w:sz w:val="24"/>
          <w:szCs w:val="24"/>
        </w:rPr>
      </w:r>
    </w:p>
    <w:p>
      <w:pPr>
        <w:pStyle w:val="Normal"/>
        <w:spacing w:lineRule="auto" w:line="276"/>
        <w:jc w:val="both"/>
        <w:rPr>
          <w:bCs/>
          <w:sz w:val="24"/>
          <w:szCs w:val="24"/>
          <w:lang w:val="pt-PT"/>
        </w:rPr>
      </w:pPr>
      <w:r>
        <w:rPr>
          <w:bCs/>
          <w:sz w:val="24"/>
          <w:szCs w:val="24"/>
          <w:lang w:val="pt-PT"/>
        </w:rPr>
        <w:t>7.7 Da gestão e da Fiscalização do Contrato</w:t>
      </w:r>
    </w:p>
    <w:p>
      <w:pPr>
        <w:pStyle w:val="Default"/>
        <w:spacing w:before="0" w:after="142"/>
        <w:jc w:val="both"/>
        <w:rPr/>
      </w:pPr>
      <w:r>
        <w:rPr>
          <w:sz w:val="22"/>
        </w:rPr>
        <w:t xml:space="preserve">7.7.1 A gestão e a fiscalização do contrato competirão a servidor designado através de Portaria expedida pela Presidência do CROMT. </w:t>
      </w:r>
    </w:p>
    <w:p>
      <w:pPr>
        <w:pStyle w:val="Default"/>
        <w:spacing w:before="0" w:after="142"/>
        <w:jc w:val="both"/>
        <w:rPr/>
      </w:pPr>
      <w:r>
        <w:rPr>
          <w:sz w:val="22"/>
        </w:rPr>
        <w:t xml:space="preserve">7.7.2 A fiscalização, que competirá a um servidor designado pelo CROMT, terá como atribuições: </w:t>
      </w:r>
    </w:p>
    <w:p>
      <w:pPr>
        <w:pStyle w:val="Default"/>
        <w:spacing w:before="0" w:after="142"/>
        <w:jc w:val="both"/>
        <w:rPr/>
      </w:pPr>
      <w:r>
        <w:rPr>
          <w:b/>
          <w:sz w:val="22"/>
        </w:rPr>
        <w:t xml:space="preserve">a) </w:t>
      </w:r>
      <w:r>
        <w:rPr>
          <w:sz w:val="22"/>
        </w:rPr>
        <w:t xml:space="preserve">Providenciar, junto à CONTRATADA, a cotação, emissão, remarcação e cancelamento das passagens aérea e rodoviárias, após a autorização expressa por parte da autoridade competente; </w:t>
      </w:r>
    </w:p>
    <w:p>
      <w:pPr>
        <w:pStyle w:val="Default"/>
        <w:spacing w:before="0" w:after="142"/>
        <w:jc w:val="both"/>
        <w:rPr/>
      </w:pPr>
      <w:r>
        <w:rPr>
          <w:b/>
          <w:sz w:val="22"/>
        </w:rPr>
        <w:t xml:space="preserve">b) </w:t>
      </w:r>
      <w:r>
        <w:rPr>
          <w:sz w:val="22"/>
        </w:rPr>
        <w:t xml:space="preserve">Agendar com o representante da CONTRATADA as reuniões necessárias; </w:t>
      </w:r>
    </w:p>
    <w:p>
      <w:pPr>
        <w:pStyle w:val="Default"/>
        <w:spacing w:before="0" w:after="142"/>
        <w:jc w:val="both"/>
        <w:rPr/>
      </w:pPr>
      <w:r>
        <w:rPr>
          <w:b/>
          <w:sz w:val="22"/>
        </w:rPr>
        <w:t xml:space="preserve">c) </w:t>
      </w:r>
      <w:r>
        <w:rPr>
          <w:sz w:val="22"/>
        </w:rPr>
        <w:t xml:space="preserve">Comunicar ao gestor do contrato as ocorrências que impliquem possíveis sanções à CONTRATADA; </w:t>
      </w:r>
    </w:p>
    <w:p>
      <w:pPr>
        <w:pStyle w:val="Default"/>
        <w:jc w:val="both"/>
        <w:rPr/>
      </w:pPr>
      <w:r>
        <w:rPr>
          <w:b/>
          <w:sz w:val="22"/>
        </w:rPr>
        <w:t xml:space="preserve">d) </w:t>
      </w:r>
      <w:r>
        <w:rPr>
          <w:sz w:val="22"/>
        </w:rPr>
        <w:t xml:space="preserve">Acompanhar e atestar o recebimento das notas fiscais; </w:t>
      </w:r>
    </w:p>
    <w:p>
      <w:pPr>
        <w:pStyle w:val="Default"/>
        <w:jc w:val="both"/>
        <w:rPr/>
      </w:pPr>
      <w:r>
        <w:rPr/>
      </w:r>
    </w:p>
    <w:p>
      <w:pPr>
        <w:pStyle w:val="Default"/>
        <w:jc w:val="both"/>
        <w:rPr/>
      </w:pPr>
      <w:r>
        <w:rPr>
          <w:b/>
          <w:sz w:val="22"/>
        </w:rPr>
        <w:t xml:space="preserve">e) </w:t>
      </w:r>
      <w:r>
        <w:rPr>
          <w:sz w:val="22"/>
        </w:rPr>
        <w:t xml:space="preserve">Comunicar à CONTRATADA, por escrito, as falhas, inconsistências, deficiências verificadas na execução dos serviços, para imediata correção ou, no caso de rejeição total, a reexecução, sem prejuízo das sanções cabíveis. </w:t>
      </w:r>
    </w:p>
    <w:p>
      <w:pPr>
        <w:pStyle w:val="Default"/>
        <w:jc w:val="both"/>
        <w:rPr/>
      </w:pPr>
      <w:r>
        <w:rPr/>
      </w:r>
    </w:p>
    <w:p>
      <w:pPr>
        <w:pStyle w:val="Default"/>
        <w:jc w:val="both"/>
        <w:rPr/>
      </w:pPr>
      <w:r>
        <w:rPr>
          <w:sz w:val="22"/>
        </w:rPr>
        <w:t xml:space="preserve">7.7.3 Ao Fiscal também caberá: </w:t>
      </w:r>
    </w:p>
    <w:p>
      <w:pPr>
        <w:pStyle w:val="Default"/>
        <w:spacing w:before="0" w:after="142"/>
        <w:jc w:val="both"/>
        <w:rPr/>
      </w:pPr>
      <w:r>
        <w:rPr>
          <w:sz w:val="22"/>
        </w:rPr>
        <w:t xml:space="preserve">7.7.3.1. Apresentar à CONTRATADA as observações, reclamações e exigências que se impuserem em decorrência da Fiscalização; </w:t>
      </w:r>
    </w:p>
    <w:p>
      <w:pPr>
        <w:pStyle w:val="Default"/>
        <w:spacing w:before="0" w:after="142"/>
        <w:jc w:val="both"/>
        <w:rPr/>
      </w:pPr>
      <w:r>
        <w:rPr>
          <w:sz w:val="22"/>
        </w:rPr>
        <w:t xml:space="preserve">7.7.3.2. Notificar à CONTRATADA, por escrito, sobre a ocorrência de eventuais transtornos na execução dos serviços, fixando prazo para sua correção, conforme sua conveniência. </w:t>
      </w:r>
    </w:p>
    <w:p>
      <w:pPr>
        <w:pStyle w:val="Default"/>
        <w:jc w:val="both"/>
        <w:rPr/>
      </w:pPr>
      <w:bookmarkStart w:id="15" w:name="_Hlk156466026"/>
      <w:r>
        <w:rPr>
          <w:sz w:val="22"/>
          <w:lang w:val="pt-PT"/>
        </w:rPr>
        <w:t>7.7.3.3. Atender a quaisquer outras observações, não reservadas à fiscalização, para efeito de comunicação à contratada.</w:t>
      </w:r>
      <w:bookmarkEnd w:id="15"/>
      <w:r>
        <w:rPr>
          <w:sz w:val="22"/>
          <w:lang w:val="pt-PT"/>
        </w:rPr>
        <w:t xml:space="preserve"> </w:t>
      </w:r>
    </w:p>
    <w:p>
      <w:pPr>
        <w:pStyle w:val="Normal"/>
        <w:spacing w:lineRule="auto" w:line="276"/>
        <w:jc w:val="both"/>
        <w:rPr>
          <w:bCs/>
          <w:sz w:val="24"/>
          <w:szCs w:val="24"/>
          <w:lang w:val="pt-PT"/>
        </w:rPr>
      </w:pPr>
      <w:r>
        <w:rPr>
          <w:bCs/>
          <w:sz w:val="24"/>
          <w:szCs w:val="24"/>
          <w:lang w:val="pt-PT"/>
        </w:rPr>
      </w:r>
    </w:p>
    <w:p>
      <w:pPr>
        <w:pStyle w:val="Normal"/>
        <w:pBdr>
          <w:top w:val="single" w:sz="4" w:space="1" w:color="000000"/>
          <w:left w:val="single" w:sz="4" w:space="4" w:color="000000"/>
          <w:bottom w:val="single" w:sz="4" w:space="1" w:color="000000"/>
          <w:right w:val="single" w:sz="4" w:space="4" w:color="000000"/>
        </w:pBdr>
        <w:shd w:val="clear" w:color="auto" w:fill="AEAAAA" w:themeFill="background2" w:themeFillShade="bf"/>
        <w:spacing w:lineRule="auto" w:line="276"/>
        <w:jc w:val="both"/>
        <w:rPr>
          <w:bCs/>
          <w:sz w:val="24"/>
          <w:szCs w:val="24"/>
          <w:lang w:val="pt-PT"/>
        </w:rPr>
      </w:pPr>
      <w:r>
        <w:rPr>
          <w:b/>
          <w:bCs/>
          <w:sz w:val="24"/>
          <w:szCs w:val="24"/>
        </w:rPr>
        <w:t>8. DAS OBRIGAÇÕES DA CONTRATADA</w:t>
      </w:r>
    </w:p>
    <w:p>
      <w:pPr>
        <w:pStyle w:val="BodyText"/>
        <w:shd w:val="clear" w:color="auto" w:fill="FFFFFF"/>
        <w:spacing w:lineRule="auto" w:line="276"/>
        <w:jc w:val="both"/>
        <w:rPr>
          <w:sz w:val="24"/>
          <w:szCs w:val="24"/>
        </w:rPr>
      </w:pPr>
      <w:r>
        <w:rPr>
          <w:sz w:val="24"/>
          <w:szCs w:val="24"/>
        </w:rPr>
        <w:t xml:space="preserve">8.1 A </w:t>
      </w:r>
      <w:r>
        <w:rPr>
          <w:b/>
          <w:sz w:val="24"/>
          <w:szCs w:val="24"/>
        </w:rPr>
        <w:t>CONTRATADA</w:t>
      </w:r>
      <w:r>
        <w:rPr>
          <w:sz w:val="24"/>
          <w:szCs w:val="24"/>
        </w:rPr>
        <w:t xml:space="preserve"> se obriga à:</w:t>
      </w:r>
    </w:p>
    <w:p>
      <w:pPr>
        <w:pStyle w:val="BodyText"/>
        <w:shd w:val="clear" w:color="auto" w:fill="FFFFFF"/>
        <w:spacing w:lineRule="auto" w:line="276"/>
        <w:jc w:val="both"/>
        <w:rPr>
          <w:b/>
          <w:sz w:val="24"/>
          <w:szCs w:val="24"/>
        </w:rPr>
      </w:pPr>
      <w:r>
        <w:rPr>
          <w:sz w:val="24"/>
          <w:szCs w:val="24"/>
        </w:rPr>
        <w:t xml:space="preserve">a). Fornecer os serviços descritos na Cláusula Primeira deste Contrato Administrativo conforme solicitado via </w:t>
      </w:r>
      <w:r>
        <w:rPr>
          <w:b/>
          <w:sz w:val="24"/>
          <w:szCs w:val="24"/>
        </w:rPr>
        <w:t>Ordem de Fornecimento de Serviço.</w:t>
      </w:r>
    </w:p>
    <w:p>
      <w:pPr>
        <w:pStyle w:val="BodyText"/>
        <w:shd w:val="clear" w:color="auto" w:fill="FFFFFF"/>
        <w:spacing w:lineRule="auto" w:line="276"/>
        <w:ind w:left="426"/>
        <w:jc w:val="both"/>
        <w:rPr>
          <w:sz w:val="24"/>
          <w:szCs w:val="24"/>
        </w:rPr>
      </w:pPr>
      <w:r>
        <w:rPr>
          <w:sz w:val="24"/>
          <w:szCs w:val="24"/>
        </w:rPr>
        <w:t>a.1) A requisição poderá ser realizada por whatsapp ou e-mail a ser fornecido pelo CONTRATADO.</w:t>
      </w:r>
    </w:p>
    <w:p>
      <w:pPr>
        <w:pStyle w:val="BodyText"/>
        <w:shd w:val="clear" w:color="auto" w:fill="FFFFFF"/>
        <w:spacing w:lineRule="auto" w:line="276"/>
        <w:jc w:val="both"/>
        <w:rPr>
          <w:sz w:val="24"/>
          <w:szCs w:val="24"/>
        </w:rPr>
      </w:pPr>
      <w:r>
        <w:rPr>
          <w:sz w:val="24"/>
          <w:szCs w:val="24"/>
        </w:rPr>
        <w:t>b) A(s) Nota(s) Fiscal(is) do(s) material(ais) deverá ser remetida com antecedência mínima de 10 (dez) dias úteis em relação à data de seu vencimento e deve conter todos os dados da empresa, se é optante pelo simples nacional, o número da nota de empenho e/ou contrato e a descrição do objeto com a quantidade, para que o Fiscal do Contrato possa realizar sua verificação e, não havendo problemas, atestá-la</w:t>
      </w:r>
      <w:r>
        <w:rPr>
          <w:b/>
          <w:sz w:val="24"/>
          <w:szCs w:val="24"/>
        </w:rPr>
        <w:t>.</w:t>
      </w:r>
      <w:r>
        <w:rPr>
          <w:sz w:val="24"/>
          <w:szCs w:val="24"/>
        </w:rPr>
        <w:t xml:space="preserve"> O pagamento será efetuado nos dias 10 e/ou 20 do mês subsequente a prestação/aquisição do serviço/material, devendo apresentar Nota Fiscal e/ou documentos fiscal com 10 (dez) dias de antecedência das datas programadas para pagamento de fornecedores.</w:t>
      </w:r>
    </w:p>
    <w:p>
      <w:pPr>
        <w:pStyle w:val="BodyText"/>
        <w:shd w:val="clear" w:color="auto" w:fill="FFFFFF"/>
        <w:spacing w:lineRule="auto" w:line="276"/>
        <w:ind w:left="426"/>
        <w:jc w:val="both"/>
        <w:rPr>
          <w:sz w:val="24"/>
          <w:szCs w:val="24"/>
        </w:rPr>
      </w:pPr>
      <w:r>
        <w:rPr>
          <w:sz w:val="24"/>
          <w:szCs w:val="24"/>
        </w:rPr>
        <w:t xml:space="preserve">b.1) Junto com a(s) Nota(s) Fiscal(is) A CONTRATADA deverá manter a regularidade fiscal a cada  pedido de pagamento, os documentos a seguir discriminados, para verificação perante os órgãos competentes: comprovação de regularidade junto ao Sistema da Seguridade Social (CND) e à Fazenda Federal que compõe a </w:t>
      </w:r>
      <w:r>
        <w:rPr>
          <w:sz w:val="24"/>
          <w:szCs w:val="24"/>
          <w:shd w:fill="FFFFFF" w:val="clear"/>
        </w:rPr>
        <w:t>Certidão de Débitos Relativos a Créditos Tributários Federais e à Dívida Ativa da União</w:t>
      </w:r>
      <w:r>
        <w:rPr>
          <w:sz w:val="24"/>
          <w:szCs w:val="24"/>
        </w:rPr>
        <w:t>, o Certificado de Regularidade do FGTS (CRF), e da certidão negativa de débitos trabalhistas (CNDT), se for optante pelo simples nacional apresentar declaração, sem que isso gere direito a alteração de preços ou compensação financeira, da Fazenda Municipal com Certidão de Débitos Gerais do município de origem da Contratada e outra equivalente (</w:t>
      </w:r>
      <w:r>
        <w:rPr>
          <w:b/>
          <w:bCs w:val="false"/>
          <w:sz w:val="24"/>
          <w:szCs w:val="24"/>
        </w:rPr>
        <w:t>quando se tratar de serviços)</w:t>
      </w:r>
      <w:r>
        <w:rPr>
          <w:sz w:val="24"/>
          <w:szCs w:val="24"/>
        </w:rPr>
        <w:t xml:space="preserve"> e da Fazenda Estadual com Certidão Conjunta de Pendencias Tributárias e não Tributária Junto a SEFAZ a PGE do Estado de origem da Contratada ou outra equivalente. (</w:t>
      </w:r>
      <w:r>
        <w:rPr>
          <w:b/>
          <w:bCs w:val="false"/>
          <w:sz w:val="24"/>
          <w:szCs w:val="24"/>
        </w:rPr>
        <w:t>quando se tratar de materiais)</w:t>
      </w:r>
    </w:p>
    <w:p>
      <w:pPr>
        <w:pStyle w:val="BodyText"/>
        <w:shd w:val="clear" w:color="auto" w:fill="FFFFFF"/>
        <w:spacing w:lineRule="auto" w:line="276"/>
        <w:ind w:left="426"/>
        <w:jc w:val="both"/>
        <w:rPr>
          <w:sz w:val="24"/>
          <w:szCs w:val="24"/>
        </w:rPr>
      </w:pPr>
      <w:r>
        <w:rPr>
          <w:sz w:val="24"/>
          <w:szCs w:val="24"/>
        </w:rPr>
        <w:t xml:space="preserve">b.2). Serão aceitas como prova de regularidade, certidões positivas com efeito de negativas e certidões positivas que noticiem em seu corpo que os débitos estão judicialmente garantidos ou com sua exigibilidade suspensa. </w:t>
      </w:r>
    </w:p>
    <w:p>
      <w:pPr>
        <w:pStyle w:val="BodyText"/>
        <w:shd w:val="clear" w:color="auto" w:fill="FFFFFF"/>
        <w:spacing w:lineRule="auto" w:line="276"/>
        <w:jc w:val="both"/>
        <w:rPr>
          <w:sz w:val="24"/>
          <w:szCs w:val="24"/>
        </w:rPr>
      </w:pPr>
      <w:r>
        <w:rPr>
          <w:sz w:val="24"/>
          <w:szCs w:val="24"/>
        </w:rPr>
        <w:t xml:space="preserve">c) Fornecer os materiais/serviços nas instalações da </w:t>
      </w:r>
      <w:r>
        <w:rPr>
          <w:b/>
          <w:sz w:val="24"/>
          <w:szCs w:val="24"/>
        </w:rPr>
        <w:t>CONTRATANTE</w:t>
      </w:r>
      <w:r>
        <w:rPr>
          <w:sz w:val="24"/>
          <w:szCs w:val="24"/>
        </w:rPr>
        <w:t xml:space="preserve"> com esmero e sob sua exclusiva responsabilidade, sempre que solicitado pelo CROMT, sendo vedada a transferência dos mesmos a terceiros, sem previa e expressa concordância da CONTRATANTE. </w:t>
      </w:r>
    </w:p>
    <w:p>
      <w:pPr>
        <w:pStyle w:val="Default"/>
        <w:jc w:val="both"/>
        <w:rPr/>
      </w:pPr>
      <w:r>
        <w:rPr>
          <w:bCs/>
          <w:lang w:val="pt-PT" w:bidi="pt-PT"/>
        </w:rPr>
        <w:t xml:space="preserve">8.2 </w:t>
      </w:r>
      <w:r>
        <w:rPr/>
        <w:t xml:space="preserve">Para facilitar a execução do contrato, adotar, sempre que solicitado e de acordo com as normas estabelecidas, as seguintes providências: </w:t>
      </w:r>
    </w:p>
    <w:p>
      <w:pPr>
        <w:pStyle w:val="Default"/>
        <w:spacing w:before="0" w:after="144"/>
        <w:ind w:firstLine="850"/>
        <w:jc w:val="both"/>
        <w:rPr/>
      </w:pPr>
      <w:r>
        <w:rPr>
          <w:b/>
        </w:rPr>
        <w:t xml:space="preserve">a) </w:t>
      </w:r>
      <w:r>
        <w:rPr/>
        <w:t xml:space="preserve">Execução de reserva automatizada “on-line” e emissão de seu comprovante; </w:t>
      </w:r>
    </w:p>
    <w:p>
      <w:pPr>
        <w:pStyle w:val="Default"/>
        <w:spacing w:before="0" w:after="144"/>
        <w:ind w:firstLine="850"/>
        <w:jc w:val="both"/>
        <w:rPr/>
      </w:pPr>
      <w:r>
        <w:rPr>
          <w:b/>
        </w:rPr>
        <w:t xml:space="preserve">b) </w:t>
      </w:r>
      <w:r>
        <w:rPr/>
        <w:t xml:space="preserve">Emissão de passagem por meio eletrônico, “on-line”; </w:t>
      </w:r>
    </w:p>
    <w:p>
      <w:pPr>
        <w:pStyle w:val="Default"/>
        <w:spacing w:before="0" w:after="144"/>
        <w:ind w:firstLine="850"/>
        <w:jc w:val="both"/>
        <w:rPr/>
      </w:pPr>
      <w:r>
        <w:rPr>
          <w:b/>
        </w:rPr>
        <w:t xml:space="preserve">c) </w:t>
      </w:r>
      <w:r>
        <w:rPr/>
        <w:t xml:space="preserve">Consulta e informação de melhor rota ou percurso, “on-line”; </w:t>
      </w:r>
    </w:p>
    <w:p>
      <w:pPr>
        <w:pStyle w:val="Default"/>
        <w:spacing w:before="0" w:after="144"/>
        <w:ind w:firstLine="850"/>
        <w:jc w:val="both"/>
        <w:rPr/>
      </w:pPr>
      <w:r>
        <w:rPr>
          <w:b/>
        </w:rPr>
        <w:t xml:space="preserve">d) </w:t>
      </w:r>
      <w:r>
        <w:rPr/>
        <w:t xml:space="preserve">Consulta sobre frequência de voos e equipamentos, “on-line”; </w:t>
      </w:r>
    </w:p>
    <w:p>
      <w:pPr>
        <w:pStyle w:val="Default"/>
        <w:spacing w:before="0" w:after="144"/>
        <w:ind w:firstLine="850"/>
        <w:jc w:val="both"/>
        <w:rPr/>
      </w:pPr>
      <w:r>
        <w:rPr>
          <w:b/>
        </w:rPr>
        <w:t xml:space="preserve">e) </w:t>
      </w:r>
      <w:r>
        <w:rPr/>
        <w:t xml:space="preserve">Consulta à menor tarifa disponível; </w:t>
      </w:r>
    </w:p>
    <w:p>
      <w:pPr>
        <w:pStyle w:val="Default"/>
        <w:spacing w:before="0" w:after="144"/>
        <w:ind w:firstLine="850"/>
        <w:jc w:val="both"/>
        <w:rPr/>
      </w:pPr>
      <w:r>
        <w:rPr>
          <w:b/>
        </w:rPr>
        <w:t xml:space="preserve">f) </w:t>
      </w:r>
      <w:r>
        <w:rPr/>
        <w:t xml:space="preserve">Alteração/remarcação de passagem; </w:t>
      </w:r>
    </w:p>
    <w:p>
      <w:pPr>
        <w:pStyle w:val="Default"/>
        <w:ind w:firstLine="850"/>
        <w:jc w:val="both"/>
        <w:rPr/>
      </w:pPr>
      <w:r>
        <w:rPr>
          <w:b/>
        </w:rPr>
        <w:t xml:space="preserve">g) </w:t>
      </w:r>
      <w:r>
        <w:rPr/>
        <w:t xml:space="preserve">Combinação de tarifas; </w:t>
      </w:r>
    </w:p>
    <w:p>
      <w:pPr>
        <w:pStyle w:val="Normal"/>
        <w:spacing w:lineRule="auto" w:line="276"/>
        <w:jc w:val="both"/>
        <w:rPr>
          <w:bCs/>
          <w:sz w:val="24"/>
          <w:szCs w:val="24"/>
          <w:lang w:val="pt-PT" w:bidi="pt-PT"/>
        </w:rPr>
      </w:pPr>
      <w:r>
        <w:rPr>
          <w:bCs/>
          <w:sz w:val="24"/>
          <w:szCs w:val="24"/>
          <w:lang w:val="pt-PT" w:bidi="pt-PT"/>
        </w:rPr>
      </w:r>
    </w:p>
    <w:p>
      <w:pPr>
        <w:pStyle w:val="Default"/>
        <w:spacing w:before="0" w:after="142"/>
        <w:jc w:val="both"/>
        <w:rPr/>
      </w:pPr>
      <w:r>
        <w:rPr/>
        <w:t xml:space="preserve">8.3 Prestar assessoramento para definição de melhor roteiro, horário e frequência de vôos (partidas e chegadas), melhores conexões e tarifas promocionais na retirada de passagem aérea e rodoviária; </w:t>
      </w:r>
    </w:p>
    <w:p>
      <w:pPr>
        <w:pStyle w:val="Default"/>
        <w:spacing w:before="0" w:after="142"/>
        <w:jc w:val="both"/>
        <w:rPr/>
      </w:pPr>
      <w:r>
        <w:rPr/>
        <w:t xml:space="preserve">8.4 Disponibilizar um funcionário para atender prioritariamente o CONTRATANTE, de maneira que as solicitações sejam atendidas no menor espaço de tempo possível, principalmente quanto ao envio de demonstrativos de vôos, controle de reservas e emissão de passagem; </w:t>
      </w:r>
    </w:p>
    <w:p>
      <w:pPr>
        <w:pStyle w:val="Default"/>
        <w:spacing w:before="0" w:after="142"/>
        <w:jc w:val="both"/>
        <w:rPr/>
      </w:pPr>
      <w:r>
        <w:rPr/>
        <w:t xml:space="preserve">8.5 Informar ao CONTRATANTE o nome, endereço e telefone do responsável pelo gerenciamento deste contrato, no prazo de 5 (cinco) dias contados da assinatura do acordo; </w:t>
      </w:r>
    </w:p>
    <w:p>
      <w:pPr>
        <w:pStyle w:val="Default"/>
        <w:spacing w:before="0" w:after="142"/>
        <w:jc w:val="both"/>
        <w:rPr/>
      </w:pPr>
      <w:r>
        <w:rPr/>
        <w:t xml:space="preserve">8.6 Prestar atendimento aos sábados, domingos e feriados, por empregado designado pela empresa, com acesso ao serviço móvel celular; </w:t>
      </w:r>
    </w:p>
    <w:p>
      <w:pPr>
        <w:pStyle w:val="Default"/>
        <w:spacing w:before="0" w:after="142"/>
        <w:jc w:val="both"/>
        <w:rPr/>
      </w:pPr>
      <w:r>
        <w:rPr/>
        <w:t xml:space="preserve">8.7 Efetuar a emissão de passagem em caráter de urgência, fora do horário de expediente, inclusive sábados, domingos e feriados, devendo a mesma estar à disposição do Conselho em tempo hábil para o embarque do passageiro; </w:t>
      </w:r>
    </w:p>
    <w:p>
      <w:pPr>
        <w:pStyle w:val="Default"/>
        <w:spacing w:before="0" w:after="142"/>
        <w:jc w:val="both"/>
        <w:rPr/>
      </w:pPr>
      <w:r>
        <w:rPr/>
        <w:t xml:space="preserve">8.8 Manter durante a execução do contrato todas as condições de habilitação e da proposta; </w:t>
      </w:r>
    </w:p>
    <w:p>
      <w:pPr>
        <w:pStyle w:val="Default"/>
        <w:spacing w:before="0" w:after="142"/>
        <w:jc w:val="both"/>
        <w:rPr/>
      </w:pPr>
      <w:r>
        <w:rPr/>
        <w:t xml:space="preserve">8.9 Sempre que solicitado, fornecer ao CONTRATANTE, sem ônus, a tabela de preços das empresas aérea e rodoviárias para passagens, comunicando imediatamente ao Conselho qualquer reajuste ocorrido, de modo a possibilitar, quando da emissão da passagem, a utilização da menor tarifa; </w:t>
      </w:r>
    </w:p>
    <w:p>
      <w:pPr>
        <w:pStyle w:val="Default"/>
        <w:spacing w:before="0" w:after="142"/>
        <w:jc w:val="both"/>
        <w:rPr/>
      </w:pPr>
      <w:r>
        <w:rPr/>
        <w:t xml:space="preserve">8.10 Repassar ao CONTRATANTE as tarifas promocionais ou reduzidas, sempre que oferecidas pelas Companhias Aérea e rodoviárias, bem como as vantagens e bonificações decorrentes da emissão, em conjunto, de um determinado número de passagens; </w:t>
      </w:r>
    </w:p>
    <w:p>
      <w:pPr>
        <w:pStyle w:val="Default"/>
        <w:jc w:val="both"/>
        <w:rPr/>
      </w:pPr>
      <w:r>
        <w:rPr/>
        <w:t xml:space="preserve">8.11 Informar por escrito e comprovar a cobrança de qualquer tipo de multa ou taxa paga às Companhias Aérea e rodoviárias, em razão de alterações nas reservas e passagens; </w:t>
      </w:r>
    </w:p>
    <w:p>
      <w:pPr>
        <w:pStyle w:val="Default"/>
        <w:jc w:val="both"/>
        <w:rPr/>
      </w:pPr>
      <w:r>
        <w:rPr/>
      </w:r>
    </w:p>
    <w:p>
      <w:pPr>
        <w:pStyle w:val="Default"/>
        <w:spacing w:before="0" w:after="142"/>
        <w:jc w:val="both"/>
        <w:rPr/>
      </w:pPr>
      <w:r>
        <w:rPr/>
        <w:t xml:space="preserve">8.12 Facilitar os trabalhos de fiscalização e acompanhamento do contrato pelo CONTRATANTE acatando imediatamente as instruções, sugestões, observações e decisões que dele emanem, providenciando, com celeridade e presteza, a correção das deficiências apontadas quanto à execução dos serviços contratados; </w:t>
      </w:r>
    </w:p>
    <w:p>
      <w:pPr>
        <w:pStyle w:val="Default"/>
        <w:jc w:val="both"/>
        <w:rPr/>
      </w:pPr>
      <w:r>
        <w:rPr/>
        <w:t xml:space="preserve">8.13 Responder, integralmente, por perdas e danos que vier a causar ao CONTRATANTE ou a terceiros em razão de ação ou omissão, dolosa ou culposa, sua ou de seus prepostos, independentemente de outras cominações contratuais ou legais a que estiver sujeita; </w:t>
      </w:r>
    </w:p>
    <w:p>
      <w:pPr>
        <w:pStyle w:val="Default"/>
        <w:rPr/>
      </w:pPr>
      <w:r>
        <w:rPr/>
      </w:r>
    </w:p>
    <w:p>
      <w:pPr>
        <w:pStyle w:val="Default"/>
        <w:spacing w:before="0" w:after="142"/>
        <w:jc w:val="both"/>
        <w:rPr/>
      </w:pPr>
      <w:r>
        <w:rPr/>
        <w:t xml:space="preserve">8.14 Comunicar ao CONTRATANTE, por escrito, no prazo máximo de 03 (três) dias úteis, quaisquer alterações havidas no contrato social, durante o prazo de vigência do contrato de prestação de serviços, bem como apresentar documentos comprobatórios das alterações promovidas; </w:t>
      </w:r>
    </w:p>
    <w:p>
      <w:pPr>
        <w:pStyle w:val="Default"/>
        <w:spacing w:before="0" w:after="142"/>
        <w:jc w:val="both"/>
        <w:rPr/>
      </w:pPr>
      <w:r>
        <w:rPr/>
        <w:t xml:space="preserve">8.15 Não transferir a outrem, no todo ou em parte, o objeto do contrato a ser firmado; </w:t>
      </w:r>
    </w:p>
    <w:p>
      <w:pPr>
        <w:pStyle w:val="Default"/>
        <w:spacing w:before="0" w:after="142"/>
        <w:jc w:val="both"/>
        <w:rPr/>
      </w:pPr>
      <w:r>
        <w:rPr/>
        <w:t xml:space="preserve">8.16  Responsabilizar-se por todas as despesas tais como taxas; impostos; ligações telefônicas; custos administrativos e de impressão de passagens; salários; seguros; vale-refeição e transporte; indenizações, encargos sociais e trabalhistas e quaisquer outras despesas referentes aos serviços objeto do contrato, inclusive licença em repartições públicas; registros, publicações e autenticações do termo de contrato e dos documentos a ele relativos, e se necessários outros que porventura venham a ser criadas pelo Governo Federal, Estadual ou Municipal. </w:t>
      </w:r>
    </w:p>
    <w:p>
      <w:pPr>
        <w:pStyle w:val="Default"/>
        <w:jc w:val="both"/>
        <w:rPr/>
      </w:pPr>
      <w:r>
        <w:rPr/>
        <w:t xml:space="preserve">8.17 Apresentar ao CONTRATANTE mensalmente as faturas emitidas pelas companhias aérea e rodoviárias referentes às passagens aérea e rodoviárias adquiridas por este Conselho, juntamente com a NOTA FISCAL. </w:t>
      </w:r>
    </w:p>
    <w:p>
      <w:pPr>
        <w:pStyle w:val="Normal"/>
        <w:pBdr>
          <w:top w:val="single" w:sz="4" w:space="1" w:color="000000"/>
          <w:left w:val="single" w:sz="4" w:space="4" w:color="000000"/>
          <w:bottom w:val="single" w:sz="4" w:space="1" w:color="000000"/>
          <w:right w:val="single" w:sz="4" w:space="4" w:color="000000"/>
        </w:pBdr>
        <w:shd w:val="clear" w:color="auto" w:fill="A6A6A6" w:themeFill="background1" w:themeFillShade="a6"/>
        <w:spacing w:lineRule="auto" w:line="276"/>
        <w:jc w:val="both"/>
        <w:rPr>
          <w:b/>
          <w:bCs/>
          <w:sz w:val="24"/>
          <w:szCs w:val="24"/>
        </w:rPr>
      </w:pPr>
      <w:r>
        <w:rPr>
          <w:b/>
          <w:bCs/>
          <w:sz w:val="24"/>
          <w:szCs w:val="24"/>
        </w:rPr>
        <w:t>9. DA HABILITAÇÃO:</w:t>
      </w:r>
    </w:p>
    <w:p>
      <w:pPr>
        <w:pStyle w:val="Normal"/>
        <w:spacing w:lineRule="auto" w:line="276"/>
        <w:jc w:val="both"/>
        <w:rPr>
          <w:b/>
          <w:sz w:val="24"/>
          <w:szCs w:val="24"/>
          <w:lang w:val="pt-PT" w:bidi="pt-PT"/>
        </w:rPr>
      </w:pPr>
      <w:r>
        <w:rPr>
          <w:b/>
          <w:sz w:val="24"/>
          <w:szCs w:val="24"/>
          <w:lang w:val="pt-PT" w:bidi="pt-PT"/>
        </w:rPr>
        <w:t>9.1. Habilitação Jurídica;</w:t>
      </w:r>
    </w:p>
    <w:p>
      <w:pPr>
        <w:pStyle w:val="ListParagraph"/>
        <w:numPr>
          <w:ilvl w:val="0"/>
          <w:numId w:val="18"/>
        </w:numPr>
        <w:spacing w:lineRule="auto" w:line="276"/>
        <w:jc w:val="both"/>
        <w:rPr>
          <w:bCs/>
          <w:sz w:val="24"/>
          <w:szCs w:val="24"/>
          <w:lang w:val="pt-PT" w:bidi="pt-PT"/>
        </w:rPr>
      </w:pPr>
      <w:r>
        <w:rPr>
          <w:bCs/>
          <w:sz w:val="24"/>
          <w:szCs w:val="24"/>
          <w:lang w:val="pt-PT" w:bidi="pt-PT"/>
        </w:rPr>
        <w:t>Registro Comercial, no caso de empresa individual;</w:t>
      </w:r>
    </w:p>
    <w:p>
      <w:pPr>
        <w:pStyle w:val="ListParagraph"/>
        <w:numPr>
          <w:ilvl w:val="0"/>
          <w:numId w:val="18"/>
        </w:numPr>
        <w:spacing w:lineRule="auto" w:line="276"/>
        <w:jc w:val="both"/>
        <w:rPr>
          <w:bCs/>
          <w:sz w:val="24"/>
          <w:szCs w:val="24"/>
          <w:lang w:val="pt-PT" w:bidi="pt-PT"/>
        </w:rPr>
      </w:pPr>
      <w:r>
        <w:rPr>
          <w:bCs/>
          <w:sz w:val="24"/>
          <w:szCs w:val="24"/>
          <w:lang w:val="pt-PT" w:bidi="pt-PT"/>
        </w:rPr>
        <w:t>Ato constitutivo, estatuto ou contrato social em vigor, devidamente registrado, que poderá ser substituído por documento consolidado das alterações, devidamente comprovado o último registro no órgão próprio e, no caso de sociedade por ações, acompanhado dos documentos de eleições de seus administradores;</w:t>
      </w:r>
    </w:p>
    <w:p>
      <w:pPr>
        <w:pStyle w:val="ListParagraph"/>
        <w:numPr>
          <w:ilvl w:val="0"/>
          <w:numId w:val="18"/>
        </w:numPr>
        <w:spacing w:lineRule="auto" w:line="276"/>
        <w:jc w:val="both"/>
        <w:rPr>
          <w:bCs/>
          <w:sz w:val="24"/>
          <w:szCs w:val="24"/>
          <w:lang w:val="pt-PT" w:bidi="pt-PT"/>
        </w:rPr>
      </w:pPr>
      <w:r>
        <w:rPr>
          <w:bCs/>
          <w:sz w:val="24"/>
          <w:szCs w:val="24"/>
          <w:lang w:val="pt-PT" w:bidi="pt-PT"/>
        </w:rPr>
        <w:t>Incrição do ato constitutivo, no caso de socidade civis, acompanhado de prova da diretoria em exercício;</w:t>
      </w:r>
    </w:p>
    <w:p>
      <w:pPr>
        <w:pStyle w:val="ListParagraph"/>
        <w:numPr>
          <w:ilvl w:val="0"/>
          <w:numId w:val="18"/>
        </w:numPr>
        <w:spacing w:lineRule="auto" w:line="276"/>
        <w:jc w:val="both"/>
        <w:rPr>
          <w:bCs/>
          <w:sz w:val="24"/>
          <w:szCs w:val="24"/>
          <w:lang w:val="pt-PT" w:bidi="pt-PT"/>
        </w:rPr>
      </w:pPr>
      <w:r>
        <w:rPr>
          <w:bCs/>
          <w:sz w:val="24"/>
          <w:szCs w:val="24"/>
          <w:lang w:val="pt-PT" w:bidi="pt-PT"/>
        </w:rPr>
        <w:t>Decreto de autorização, no caso de emrpesa ou socidedade estrageira em funcionamento no País;</w:t>
      </w:r>
    </w:p>
    <w:p>
      <w:pPr>
        <w:pStyle w:val="ListParagraph"/>
        <w:numPr>
          <w:ilvl w:val="0"/>
          <w:numId w:val="18"/>
        </w:numPr>
        <w:spacing w:lineRule="auto" w:line="276"/>
        <w:jc w:val="both"/>
        <w:rPr>
          <w:bCs/>
          <w:sz w:val="24"/>
          <w:szCs w:val="24"/>
          <w:lang w:val="pt-PT" w:bidi="pt-PT"/>
        </w:rPr>
      </w:pPr>
      <w:r>
        <w:rPr>
          <w:bCs/>
          <w:sz w:val="24"/>
          <w:szCs w:val="24"/>
          <w:lang w:val="pt-PT" w:bidi="pt-PT"/>
        </w:rPr>
        <w:t>Atao de registro ou atorização para funcionamento expedido pelo órgão competente, quando a ativade assim o exigir;</w:t>
      </w:r>
    </w:p>
    <w:p>
      <w:pPr>
        <w:pStyle w:val="ListParagraph"/>
        <w:spacing w:lineRule="auto" w:line="276"/>
        <w:jc w:val="both"/>
        <w:rPr>
          <w:bCs/>
          <w:sz w:val="24"/>
          <w:szCs w:val="24"/>
          <w:lang w:val="pt-PT" w:bidi="pt-PT"/>
        </w:rPr>
      </w:pPr>
      <w:r>
        <w:rPr>
          <w:bCs/>
          <w:sz w:val="24"/>
          <w:szCs w:val="24"/>
          <w:lang w:val="pt-PT" w:bidi="pt-PT"/>
        </w:rPr>
      </w:r>
    </w:p>
    <w:p>
      <w:pPr>
        <w:pStyle w:val="Normal"/>
        <w:spacing w:lineRule="auto" w:line="276"/>
        <w:jc w:val="both"/>
        <w:rPr>
          <w:b/>
          <w:sz w:val="24"/>
          <w:szCs w:val="24"/>
          <w:lang w:val="pt-PT" w:bidi="pt-PT"/>
        </w:rPr>
      </w:pPr>
      <w:r>
        <w:rPr>
          <w:b/>
          <w:sz w:val="24"/>
          <w:szCs w:val="24"/>
          <w:lang w:val="pt-PT" w:bidi="pt-PT"/>
        </w:rPr>
        <w:t>9.2. Habilitação Fiscal;</w:t>
      </w:r>
    </w:p>
    <w:p>
      <w:pPr>
        <w:pStyle w:val="ListParagraph"/>
        <w:numPr>
          <w:ilvl w:val="0"/>
          <w:numId w:val="19"/>
        </w:numPr>
        <w:spacing w:lineRule="auto" w:line="276"/>
        <w:jc w:val="both"/>
        <w:rPr>
          <w:bCs/>
          <w:sz w:val="24"/>
          <w:szCs w:val="24"/>
          <w:lang w:val="pt-PT" w:bidi="pt-PT"/>
        </w:rPr>
      </w:pPr>
      <w:r>
        <w:rPr>
          <w:bCs/>
          <w:sz w:val="24"/>
          <w:szCs w:val="24"/>
          <w:lang w:val="pt-PT" w:bidi="pt-PT"/>
        </w:rPr>
        <w:t>Prova de inscrição no Cadastro Nacional de Pessoa Jurídicas – CNPJ do Ministério da Fazenda;</w:t>
      </w:r>
    </w:p>
    <w:p>
      <w:pPr>
        <w:pStyle w:val="ListParagraph"/>
        <w:numPr>
          <w:ilvl w:val="0"/>
          <w:numId w:val="19"/>
        </w:numPr>
        <w:spacing w:lineRule="auto" w:line="276"/>
        <w:jc w:val="both"/>
        <w:rPr>
          <w:bCs/>
          <w:sz w:val="24"/>
          <w:szCs w:val="24"/>
          <w:lang w:val="pt-PT" w:bidi="pt-PT"/>
        </w:rPr>
      </w:pPr>
      <w:r>
        <w:rPr>
          <w:bCs/>
          <w:sz w:val="24"/>
          <w:szCs w:val="24"/>
          <w:lang w:val="pt-PT" w:bidi="pt-PT"/>
        </w:rPr>
        <w:t>Prova de inscrição no Cadastro de Contribuintes, estaduais e municipal, relativo ao domicilio ou sede da empresa licitante, pertinente ao seu ramo de atividade e compatível com o objeto contratual;</w:t>
      </w:r>
    </w:p>
    <w:p>
      <w:pPr>
        <w:pStyle w:val="ListParagraph"/>
        <w:numPr>
          <w:ilvl w:val="0"/>
          <w:numId w:val="19"/>
        </w:numPr>
        <w:spacing w:lineRule="auto" w:line="276"/>
        <w:jc w:val="both"/>
        <w:rPr>
          <w:bCs/>
          <w:sz w:val="24"/>
          <w:szCs w:val="24"/>
          <w:lang w:val="pt-PT" w:bidi="pt-PT"/>
        </w:rPr>
      </w:pPr>
      <w:r>
        <w:rPr>
          <w:bCs/>
          <w:sz w:val="24"/>
          <w:szCs w:val="24"/>
          <w:lang w:val="pt-PT" w:bidi="pt-PT"/>
        </w:rPr>
        <w:t>Cópias das certidões negativas de débito ou equivalente da forma da lei, relativas;</w:t>
      </w:r>
    </w:p>
    <w:p>
      <w:pPr>
        <w:pStyle w:val="ListParagraph"/>
        <w:spacing w:lineRule="auto" w:line="276"/>
        <w:jc w:val="both"/>
        <w:rPr>
          <w:bCs/>
          <w:sz w:val="24"/>
          <w:szCs w:val="24"/>
          <w:lang w:val="pt-PT" w:bidi="pt-PT"/>
        </w:rPr>
      </w:pPr>
      <w:r>
        <w:rPr>
          <w:bCs/>
          <w:sz w:val="24"/>
          <w:szCs w:val="24"/>
          <w:lang w:val="pt-PT" w:bidi="pt-PT"/>
        </w:rPr>
        <w:t>c.1) à Seguridade Social – INSS;</w:t>
      </w:r>
    </w:p>
    <w:p>
      <w:pPr>
        <w:pStyle w:val="ListParagraph"/>
        <w:spacing w:lineRule="auto" w:line="276"/>
        <w:jc w:val="both"/>
        <w:rPr>
          <w:bCs/>
          <w:sz w:val="24"/>
          <w:szCs w:val="24"/>
          <w:lang w:val="pt-PT" w:bidi="pt-PT"/>
        </w:rPr>
      </w:pPr>
      <w:r>
        <w:rPr>
          <w:bCs/>
          <w:sz w:val="24"/>
          <w:szCs w:val="24"/>
          <w:lang w:val="pt-PT" w:bidi="pt-PT"/>
        </w:rPr>
        <w:t>c.2) ao Fundo de Garantia por Tempo de Serviços – FGTS;</w:t>
      </w:r>
    </w:p>
    <w:p>
      <w:pPr>
        <w:pStyle w:val="ListParagraph"/>
        <w:spacing w:lineRule="auto" w:line="276"/>
        <w:jc w:val="both"/>
        <w:rPr>
          <w:bCs/>
          <w:sz w:val="24"/>
          <w:szCs w:val="24"/>
          <w:lang w:val="pt-PT" w:bidi="pt-PT"/>
        </w:rPr>
      </w:pPr>
      <w:r>
        <w:rPr>
          <w:bCs/>
          <w:sz w:val="24"/>
          <w:szCs w:val="24"/>
          <w:lang w:val="pt-PT" w:bidi="pt-PT"/>
        </w:rPr>
        <w:t>c.3) à Fazenda Pública Federal;</w:t>
      </w:r>
    </w:p>
    <w:p>
      <w:pPr>
        <w:pStyle w:val="ListParagraph"/>
        <w:spacing w:lineRule="auto" w:line="276"/>
        <w:jc w:val="both"/>
        <w:rPr>
          <w:bCs/>
          <w:sz w:val="24"/>
          <w:szCs w:val="24"/>
          <w:lang w:val="pt-PT" w:bidi="pt-PT"/>
        </w:rPr>
      </w:pPr>
      <w:r>
        <w:rPr>
          <w:bCs/>
          <w:sz w:val="24"/>
          <w:szCs w:val="24"/>
          <w:lang w:val="pt-PT" w:bidi="pt-PT"/>
        </w:rPr>
        <w:t xml:space="preserve">     </w:t>
      </w:r>
      <w:r>
        <w:rPr>
          <w:bCs/>
          <w:sz w:val="24"/>
          <w:szCs w:val="24"/>
          <w:lang w:val="pt-PT" w:bidi="pt-PT"/>
        </w:rPr>
        <w:t>c.3.1) Receita Federal, e</w:t>
      </w:r>
    </w:p>
    <w:p>
      <w:pPr>
        <w:pStyle w:val="ListParagraph"/>
        <w:spacing w:lineRule="auto" w:line="276"/>
        <w:jc w:val="both"/>
        <w:rPr>
          <w:bCs/>
          <w:sz w:val="24"/>
          <w:szCs w:val="24"/>
          <w:lang w:val="pt-PT" w:bidi="pt-PT"/>
        </w:rPr>
      </w:pPr>
      <w:r>
        <w:rPr>
          <w:bCs/>
          <w:sz w:val="24"/>
          <w:szCs w:val="24"/>
          <w:lang w:val="pt-PT" w:bidi="pt-PT"/>
        </w:rPr>
        <w:t xml:space="preserve">     </w:t>
      </w:r>
      <w:r>
        <w:rPr>
          <w:bCs/>
          <w:sz w:val="24"/>
          <w:szCs w:val="24"/>
          <w:lang w:val="pt-PT" w:bidi="pt-PT"/>
        </w:rPr>
        <w:t>c.3.2) Dívida Ativa da União;</w:t>
      </w:r>
    </w:p>
    <w:p>
      <w:pPr>
        <w:pStyle w:val="ListParagraph"/>
        <w:spacing w:lineRule="auto" w:line="276"/>
        <w:jc w:val="both"/>
        <w:rPr>
          <w:bCs/>
          <w:sz w:val="24"/>
          <w:szCs w:val="24"/>
          <w:lang w:val="pt-PT" w:bidi="pt-PT"/>
        </w:rPr>
      </w:pPr>
      <w:r>
        <w:rPr>
          <w:bCs/>
          <w:sz w:val="24"/>
          <w:szCs w:val="24"/>
          <w:lang w:val="pt-PT" w:bidi="pt-PT"/>
        </w:rPr>
        <w:t>c.4) à Fazenda Pública do Estado do domicílio ou sede do licitante (Certidão Negativa de Débitos em Divida Ativa);</w:t>
      </w:r>
    </w:p>
    <w:p>
      <w:pPr>
        <w:pStyle w:val="ListParagraph"/>
        <w:spacing w:lineRule="auto" w:line="276"/>
        <w:jc w:val="both"/>
        <w:rPr>
          <w:bCs/>
          <w:sz w:val="24"/>
          <w:szCs w:val="24"/>
          <w:lang w:val="pt-PT" w:bidi="pt-PT"/>
        </w:rPr>
      </w:pPr>
      <w:r>
        <w:rPr>
          <w:bCs/>
          <w:sz w:val="24"/>
          <w:szCs w:val="24"/>
          <w:lang w:val="pt-PT" w:bidi="pt-PT"/>
        </w:rPr>
        <w:t>c.5) à Fazenda Pública do Município do domicílio ou sede do licitante (tributos mobiliários);</w:t>
      </w:r>
    </w:p>
    <w:p>
      <w:pPr>
        <w:pStyle w:val="ListParagraph"/>
        <w:spacing w:lineRule="auto" w:line="276"/>
        <w:jc w:val="both"/>
        <w:rPr>
          <w:bCs/>
          <w:sz w:val="24"/>
          <w:szCs w:val="24"/>
          <w:lang w:val="pt-PT" w:bidi="pt-PT"/>
        </w:rPr>
      </w:pPr>
      <w:r>
        <w:rPr>
          <w:bCs/>
          <w:sz w:val="24"/>
          <w:szCs w:val="24"/>
          <w:lang w:val="pt-PT" w:bidi="pt-PT"/>
        </w:rPr>
        <w:t>c.6) Certidão Negativa de Débisto Trabalhista – CNDT;</w:t>
      </w:r>
    </w:p>
    <w:p>
      <w:pPr>
        <w:pStyle w:val="Normal"/>
        <w:spacing w:lineRule="auto" w:line="276"/>
        <w:jc w:val="both"/>
        <w:rPr>
          <w:bCs/>
          <w:sz w:val="24"/>
          <w:szCs w:val="24"/>
          <w:lang w:val="pt-PT" w:bidi="pt-PT"/>
        </w:rPr>
      </w:pPr>
      <w:r>
        <w:rPr>
          <w:bCs/>
          <w:sz w:val="24"/>
          <w:szCs w:val="24"/>
          <w:lang w:val="pt-PT" w:bidi="pt-PT"/>
        </w:rPr>
      </w:r>
    </w:p>
    <w:p>
      <w:pPr>
        <w:pStyle w:val="Normal"/>
        <w:spacing w:lineRule="auto" w:line="276"/>
        <w:jc w:val="both"/>
        <w:rPr>
          <w:b/>
          <w:sz w:val="24"/>
          <w:szCs w:val="24"/>
          <w:lang w:val="pt-PT" w:bidi="pt-PT"/>
        </w:rPr>
      </w:pPr>
      <w:r>
        <w:rPr>
          <w:b/>
          <w:sz w:val="24"/>
          <w:szCs w:val="24"/>
          <w:lang w:val="pt-PT" w:bidi="pt-PT"/>
        </w:rPr>
        <w:t>9.3. Qualificação Economica e Financeira;</w:t>
      </w:r>
    </w:p>
    <w:p>
      <w:pPr>
        <w:pStyle w:val="ListParagraph"/>
        <w:numPr>
          <w:ilvl w:val="0"/>
          <w:numId w:val="20"/>
        </w:numPr>
        <w:jc w:val="both"/>
        <w:rPr>
          <w:rFonts w:eastAsia="Calibri" w:eastAsiaTheme="minorHAnsi"/>
          <w:sz w:val="24"/>
          <w:szCs w:val="24"/>
          <w:lang w:eastAsia="en-US"/>
        </w:rPr>
      </w:pPr>
      <w:r>
        <w:rPr>
          <w:rFonts w:eastAsia="Calibri" w:eastAsiaTheme="minorHAnsi"/>
          <w:sz w:val="24"/>
          <w:szCs w:val="24"/>
          <w:lang w:eastAsia="en-US"/>
        </w:rPr>
        <w:t>qualificação patrimonial e demonstrações contábeis do último exercício social, já exigíveis a apresentação na forma da lei, que comprovem a boa situação financeira da empresa, vedada a substituição por balancetes ou balanços provisórios, podendo ser atualizados, através de índices oficiais, quando encerrado há mais de três meses da data de apresentação da proposta.</w:t>
      </w:r>
    </w:p>
    <w:p>
      <w:pPr>
        <w:pStyle w:val="ListParagraph"/>
        <w:numPr>
          <w:ilvl w:val="0"/>
          <w:numId w:val="20"/>
        </w:numPr>
        <w:jc w:val="both"/>
        <w:rPr>
          <w:rFonts w:eastAsia="Calibri" w:eastAsiaTheme="minorHAnsi"/>
          <w:sz w:val="24"/>
          <w:szCs w:val="24"/>
          <w:lang w:eastAsia="en-US"/>
        </w:rPr>
      </w:pPr>
      <w:r>
        <w:rPr>
          <w:rFonts w:eastAsia="Calibri" w:eastAsiaTheme="minorHAnsi"/>
          <w:sz w:val="24"/>
          <w:szCs w:val="24"/>
          <w:lang w:eastAsia="en-US"/>
        </w:rPr>
        <w:t>Comprovação de boa situação financeira nos termos do art. 69, da Lei n.º 14.133/21, será avaliada pelos índices de Liquidez Geral (LG), Solvência Geral (SG) e Liquidez Corrente (LC), que deverão apresentar o valor mínimo igual a 1 (um), resultante da aplicação das fórmulas abaixo, evidenciadas pela própria licitante:</w:t>
      </w:r>
    </w:p>
    <w:p>
      <w:pPr>
        <w:pStyle w:val="ListParagraph"/>
        <w:jc w:val="both"/>
        <w:rPr>
          <w:rFonts w:eastAsia="Calibri" w:eastAsiaTheme="minorHAnsi"/>
          <w:sz w:val="24"/>
          <w:szCs w:val="24"/>
          <w:lang w:eastAsia="en-US"/>
        </w:rPr>
      </w:pPr>
      <w:r>
        <w:rPr>
          <w:rFonts w:eastAsia="Calibri" w:eastAsiaTheme="minorHAnsi"/>
          <w:sz w:val="24"/>
          <w:szCs w:val="24"/>
          <w:lang w:eastAsia="en-US"/>
        </w:rPr>
      </w:r>
    </w:p>
    <w:tbl>
      <w:tblPr>
        <w:tblStyle w:val="Tabelacomgrade"/>
        <w:tblW w:w="8908" w:type="dxa"/>
        <w:jc w:val="left"/>
        <w:tblInd w:w="833" w:type="dxa"/>
        <w:tblLayout w:type="fixed"/>
        <w:tblCellMar>
          <w:top w:w="0" w:type="dxa"/>
          <w:left w:w="108" w:type="dxa"/>
          <w:bottom w:w="0" w:type="dxa"/>
          <w:right w:w="108" w:type="dxa"/>
        </w:tblCellMar>
        <w:tblLook w:firstRow="1" w:noVBand="1" w:lastRow="0" w:firstColumn="1" w:lastColumn="0" w:noHBand="0" w:val="04a0"/>
      </w:tblPr>
      <w:tblGrid>
        <w:gridCol w:w="976"/>
        <w:gridCol w:w="7931"/>
      </w:tblGrid>
      <w:tr>
        <w:trPr/>
        <w:tc>
          <w:tcPr>
            <w:tcW w:w="976" w:type="dxa"/>
            <w:tcBorders/>
          </w:tcPr>
          <w:p>
            <w:pPr>
              <w:pStyle w:val="ListParagraph"/>
              <w:widowControl/>
              <w:suppressAutoHyphens w:val="true"/>
              <w:spacing w:before="0" w:after="0"/>
              <w:ind w:left="0"/>
              <w:contextualSpacing/>
              <w:jc w:val="both"/>
              <w:rPr>
                <w:rFonts w:eastAsia="Calibri" w:eastAsiaTheme="minorHAnsi"/>
                <w:sz w:val="24"/>
                <w:szCs w:val="24"/>
                <w:lang w:eastAsia="en-US"/>
              </w:rPr>
            </w:pPr>
            <w:r>
              <w:rPr>
                <w:rFonts w:eastAsia="Calibri" w:eastAsiaTheme="minorHAnsi"/>
                <w:kern w:val="0"/>
                <w:sz w:val="24"/>
                <w:szCs w:val="24"/>
                <w:lang w:val="pt-BR" w:eastAsia="en-US" w:bidi="ar-SA"/>
              </w:rPr>
              <w:t>LG =</w:t>
            </w:r>
          </w:p>
        </w:tc>
        <w:tc>
          <w:tcPr>
            <w:tcW w:w="7931" w:type="dxa"/>
            <w:tcBorders/>
          </w:tcPr>
          <w:p>
            <w:pPr>
              <w:pStyle w:val="Normal"/>
              <w:widowControl/>
              <w:suppressAutoHyphens w:val="true"/>
              <w:spacing w:before="0" w:after="0"/>
              <w:jc w:val="both"/>
              <w:rPr>
                <w:rFonts w:eastAsia="Calibri" w:eastAsiaTheme="minorHAnsi"/>
                <w:sz w:val="24"/>
                <w:szCs w:val="24"/>
                <w:lang w:eastAsia="en-US"/>
              </w:rPr>
            </w:pPr>
            <w:r>
              <w:rPr>
                <w:rFonts w:eastAsia="Calibri" w:eastAsiaTheme="minorHAnsi"/>
                <w:kern w:val="0"/>
                <w:sz w:val="24"/>
                <w:szCs w:val="24"/>
                <w:lang w:val="pt-BR" w:eastAsia="en-US" w:bidi="ar-SA"/>
              </w:rPr>
              <w:t>ATIVO CIRCULANTE+REALIZÁVEL A LONGO PRAZO)</w:t>
            </w:r>
          </w:p>
          <w:p>
            <w:pPr>
              <w:pStyle w:val="Normal"/>
              <w:widowControl/>
              <w:suppressAutoHyphens w:val="true"/>
              <w:spacing w:before="0" w:after="0"/>
              <w:jc w:val="both"/>
              <w:rPr>
                <w:rFonts w:eastAsia="Calibri" w:eastAsiaTheme="minorHAnsi"/>
                <w:sz w:val="24"/>
                <w:szCs w:val="24"/>
                <w:lang w:eastAsia="en-US"/>
              </w:rPr>
            </w:pPr>
            <w:r>
              <w:rPr>
                <w:rFonts w:eastAsia="Calibri" w:eastAsiaTheme="minorHAnsi"/>
                <w:kern w:val="0"/>
                <w:sz w:val="24"/>
                <w:szCs w:val="24"/>
                <w:lang w:val="pt-BR" w:eastAsia="en-US" w:bidi="ar-SA"/>
              </w:rPr>
              <w:t>(PASSIVO CIRCULANTE+EXIGÍVEL A LONGO PRAZO)</w:t>
            </w:r>
          </w:p>
          <w:p>
            <w:pPr>
              <w:pStyle w:val="ListParagraph"/>
              <w:widowControl/>
              <w:suppressAutoHyphens w:val="true"/>
              <w:spacing w:before="0" w:after="0"/>
              <w:ind w:left="0"/>
              <w:contextualSpacing/>
              <w:jc w:val="both"/>
              <w:rPr>
                <w:rFonts w:eastAsia="Calibri" w:eastAsiaTheme="minorHAnsi"/>
                <w:sz w:val="24"/>
                <w:szCs w:val="24"/>
                <w:lang w:eastAsia="en-US"/>
              </w:rPr>
            </w:pPr>
            <w:r>
              <w:rPr>
                <w:rFonts w:eastAsia="Calibri" w:eastAsiaTheme="minorHAnsi"/>
                <w:sz w:val="24"/>
                <w:szCs w:val="24"/>
                <w:lang w:eastAsia="en-US"/>
              </w:rPr>
            </w:r>
          </w:p>
        </w:tc>
      </w:tr>
      <w:tr>
        <w:trPr/>
        <w:tc>
          <w:tcPr>
            <w:tcW w:w="976" w:type="dxa"/>
            <w:tcBorders/>
          </w:tcPr>
          <w:p>
            <w:pPr>
              <w:pStyle w:val="ListParagraph"/>
              <w:widowControl/>
              <w:suppressAutoHyphens w:val="true"/>
              <w:spacing w:before="0" w:after="0"/>
              <w:ind w:left="0"/>
              <w:contextualSpacing/>
              <w:jc w:val="both"/>
              <w:rPr>
                <w:rFonts w:eastAsia="Calibri" w:eastAsiaTheme="minorHAnsi"/>
                <w:sz w:val="24"/>
                <w:szCs w:val="24"/>
                <w:lang w:eastAsia="en-US"/>
              </w:rPr>
            </w:pPr>
            <w:r>
              <w:rPr>
                <w:rFonts w:eastAsia="Calibri" w:eastAsiaTheme="minorHAnsi"/>
                <w:kern w:val="0"/>
                <w:sz w:val="24"/>
                <w:szCs w:val="24"/>
                <w:lang w:val="pt-BR" w:eastAsia="en-US" w:bidi="ar-SA"/>
              </w:rPr>
              <w:t>SG =</w:t>
            </w:r>
          </w:p>
        </w:tc>
        <w:tc>
          <w:tcPr>
            <w:tcW w:w="7931" w:type="dxa"/>
            <w:tcBorders/>
          </w:tcPr>
          <w:p>
            <w:pPr>
              <w:pStyle w:val="Normal"/>
              <w:widowControl/>
              <w:suppressAutoHyphens w:val="true"/>
              <w:spacing w:before="0" w:after="0"/>
              <w:jc w:val="both"/>
              <w:rPr>
                <w:rFonts w:eastAsia="Calibri" w:eastAsiaTheme="minorHAnsi"/>
                <w:sz w:val="24"/>
                <w:szCs w:val="24"/>
                <w:lang w:eastAsia="en-US"/>
              </w:rPr>
            </w:pPr>
            <w:r>
              <w:rPr>
                <w:rFonts w:eastAsia="Calibri" w:eastAsiaTheme="minorHAnsi"/>
                <w:kern w:val="0"/>
                <w:sz w:val="24"/>
                <w:szCs w:val="24"/>
                <w:lang w:val="pt-BR" w:eastAsia="en-US" w:bidi="ar-SA"/>
              </w:rPr>
              <w:t>(ATIVO TOTAL)</w:t>
            </w:r>
          </w:p>
          <w:p>
            <w:pPr>
              <w:pStyle w:val="Normal"/>
              <w:widowControl/>
              <w:suppressAutoHyphens w:val="true"/>
              <w:spacing w:before="0" w:after="0"/>
              <w:jc w:val="both"/>
              <w:rPr>
                <w:rFonts w:eastAsia="Calibri" w:eastAsiaTheme="minorHAnsi"/>
                <w:sz w:val="24"/>
                <w:szCs w:val="24"/>
                <w:lang w:eastAsia="en-US"/>
              </w:rPr>
            </w:pPr>
            <w:r>
              <w:rPr>
                <w:rFonts w:eastAsia="Calibri" w:eastAsiaTheme="minorHAnsi"/>
                <w:kern w:val="0"/>
                <w:sz w:val="24"/>
                <w:szCs w:val="24"/>
                <w:lang w:val="pt-BR" w:eastAsia="en-US" w:bidi="ar-SA"/>
              </w:rPr>
              <w:t>(PASSIVO CIRCULANTE+EXIGÍVEL Em LONGO PRAZO)</w:t>
            </w:r>
          </w:p>
          <w:p>
            <w:pPr>
              <w:pStyle w:val="ListParagraph"/>
              <w:widowControl/>
              <w:suppressAutoHyphens w:val="true"/>
              <w:spacing w:before="0" w:after="0"/>
              <w:ind w:left="0"/>
              <w:contextualSpacing/>
              <w:jc w:val="both"/>
              <w:rPr>
                <w:rFonts w:eastAsia="Calibri" w:eastAsiaTheme="minorHAnsi"/>
                <w:sz w:val="24"/>
                <w:szCs w:val="24"/>
                <w:lang w:eastAsia="en-US"/>
              </w:rPr>
            </w:pPr>
            <w:r>
              <w:rPr>
                <w:rFonts w:eastAsia="Calibri" w:eastAsiaTheme="minorHAnsi"/>
                <w:sz w:val="24"/>
                <w:szCs w:val="24"/>
                <w:lang w:eastAsia="en-US"/>
              </w:rPr>
            </w:r>
          </w:p>
        </w:tc>
      </w:tr>
      <w:tr>
        <w:trPr/>
        <w:tc>
          <w:tcPr>
            <w:tcW w:w="976" w:type="dxa"/>
            <w:tcBorders/>
          </w:tcPr>
          <w:p>
            <w:pPr>
              <w:pStyle w:val="ListParagraph"/>
              <w:widowControl/>
              <w:suppressAutoHyphens w:val="true"/>
              <w:spacing w:before="0" w:after="0"/>
              <w:ind w:left="0"/>
              <w:contextualSpacing/>
              <w:jc w:val="both"/>
              <w:rPr>
                <w:rFonts w:eastAsia="Calibri" w:eastAsiaTheme="minorHAnsi"/>
                <w:sz w:val="24"/>
                <w:szCs w:val="24"/>
                <w:lang w:eastAsia="en-US"/>
              </w:rPr>
            </w:pPr>
            <w:r>
              <w:rPr>
                <w:rFonts w:eastAsia="Calibri" w:eastAsiaTheme="minorHAnsi"/>
                <w:kern w:val="0"/>
                <w:sz w:val="24"/>
                <w:szCs w:val="24"/>
                <w:lang w:val="pt-BR" w:eastAsia="en-US" w:bidi="ar-SA"/>
              </w:rPr>
              <w:t>LC =</w:t>
            </w:r>
          </w:p>
        </w:tc>
        <w:tc>
          <w:tcPr>
            <w:tcW w:w="7931" w:type="dxa"/>
            <w:tcBorders/>
          </w:tcPr>
          <w:p>
            <w:pPr>
              <w:pStyle w:val="Normal"/>
              <w:widowControl/>
              <w:suppressAutoHyphens w:val="true"/>
              <w:spacing w:before="0" w:after="0"/>
              <w:jc w:val="both"/>
              <w:rPr>
                <w:rFonts w:eastAsia="Calibri" w:eastAsiaTheme="minorHAnsi"/>
                <w:sz w:val="24"/>
                <w:szCs w:val="24"/>
                <w:lang w:eastAsia="en-US"/>
              </w:rPr>
            </w:pPr>
            <w:r>
              <w:rPr>
                <w:rFonts w:eastAsia="Calibri" w:eastAsiaTheme="minorHAnsi"/>
                <w:kern w:val="0"/>
                <w:sz w:val="24"/>
                <w:szCs w:val="24"/>
                <w:lang w:val="pt-BR" w:eastAsia="en-US" w:bidi="ar-SA"/>
              </w:rPr>
              <w:t>(ATIVO TOTAL)</w:t>
            </w:r>
          </w:p>
          <w:p>
            <w:pPr>
              <w:pStyle w:val="Normal"/>
              <w:widowControl/>
              <w:suppressAutoHyphens w:val="true"/>
              <w:spacing w:before="0" w:after="0"/>
              <w:jc w:val="both"/>
              <w:rPr>
                <w:rFonts w:eastAsia="Calibri" w:eastAsiaTheme="minorHAnsi"/>
                <w:sz w:val="24"/>
                <w:szCs w:val="24"/>
                <w:lang w:eastAsia="en-US"/>
              </w:rPr>
            </w:pPr>
            <w:r>
              <w:rPr>
                <w:rFonts w:eastAsia="Calibri" w:eastAsiaTheme="minorHAnsi"/>
                <w:kern w:val="0"/>
                <w:sz w:val="24"/>
                <w:szCs w:val="24"/>
                <w:lang w:val="pt-BR" w:eastAsia="en-US" w:bidi="ar-SA"/>
              </w:rPr>
              <w:t>(PASSIVO CIRCULANTE+EXIGÍVEL Em LONGO PRAZO)</w:t>
            </w:r>
          </w:p>
          <w:p>
            <w:pPr>
              <w:pStyle w:val="ListParagraph"/>
              <w:widowControl/>
              <w:suppressAutoHyphens w:val="true"/>
              <w:spacing w:before="0" w:after="0"/>
              <w:ind w:left="0"/>
              <w:contextualSpacing/>
              <w:jc w:val="both"/>
              <w:rPr>
                <w:rFonts w:eastAsia="Calibri" w:eastAsiaTheme="minorHAnsi"/>
                <w:sz w:val="24"/>
                <w:szCs w:val="24"/>
                <w:lang w:eastAsia="en-US"/>
              </w:rPr>
            </w:pPr>
            <w:r>
              <w:rPr>
                <w:rFonts w:eastAsia="Calibri" w:eastAsiaTheme="minorHAnsi"/>
                <w:sz w:val="24"/>
                <w:szCs w:val="24"/>
                <w:lang w:eastAsia="en-US"/>
              </w:rPr>
            </w:r>
          </w:p>
        </w:tc>
      </w:tr>
    </w:tbl>
    <w:p>
      <w:pPr>
        <w:pStyle w:val="Normal"/>
        <w:ind w:left="851"/>
        <w:jc w:val="both"/>
        <w:rPr>
          <w:rFonts w:eastAsia="Calibri" w:eastAsiaTheme="minorHAnsi"/>
          <w:sz w:val="24"/>
          <w:szCs w:val="24"/>
          <w:lang w:eastAsia="en-US"/>
        </w:rPr>
      </w:pPr>
      <w:r>
        <w:rPr>
          <w:rFonts w:eastAsia="Calibri" w:eastAsiaTheme="minorHAnsi"/>
          <w:sz w:val="24"/>
          <w:szCs w:val="24"/>
          <w:lang w:eastAsia="en-US"/>
        </w:rPr>
        <w:t>b.1) Na ausência, ou quando qualquer dos índices Liquidez Geral, Liquidez Corrente e Solvência Geral informados for inferior a 1, deverá comprovar capital mínimo ou patrimônio líquido não inferior a 10% (dez por cento) do valor proposto;</w:t>
      </w:r>
    </w:p>
    <w:p>
      <w:pPr>
        <w:pStyle w:val="Normal"/>
        <w:spacing w:lineRule="auto" w:line="276"/>
        <w:ind w:left="851"/>
        <w:jc w:val="both"/>
        <w:rPr>
          <w:rFonts w:eastAsia="Calibri" w:eastAsiaTheme="minorHAnsi"/>
          <w:sz w:val="24"/>
          <w:szCs w:val="24"/>
          <w:lang w:eastAsia="en-US"/>
        </w:rPr>
      </w:pPr>
      <w:r>
        <w:rPr>
          <w:rFonts w:eastAsia="Calibri" w:eastAsiaTheme="minorHAnsi"/>
          <w:sz w:val="24"/>
          <w:szCs w:val="24"/>
          <w:lang w:eastAsia="en-US"/>
        </w:rPr>
        <w:t>c) certidão negativa de falência e recuperação judicial, emitida pelo distribuidor da sede da pessoa jurídica.</w:t>
      </w:r>
    </w:p>
    <w:p>
      <w:pPr>
        <w:pStyle w:val="Normal"/>
        <w:spacing w:lineRule="auto" w:line="276"/>
        <w:jc w:val="both"/>
        <w:rPr>
          <w:b/>
          <w:sz w:val="24"/>
          <w:szCs w:val="24"/>
          <w:lang w:val="pt-PT" w:bidi="pt-PT"/>
        </w:rPr>
      </w:pPr>
      <w:r>
        <w:rPr>
          <w:b/>
          <w:sz w:val="24"/>
          <w:szCs w:val="24"/>
          <w:lang w:val="pt-PT" w:bidi="pt-PT"/>
        </w:rPr>
        <w:t>9.4. Outras Documentações;</w:t>
      </w:r>
    </w:p>
    <w:p>
      <w:pPr>
        <w:pStyle w:val="ListParagraph"/>
        <w:shd w:val="clear" w:color="auto" w:fill="FFFFFF" w:themeFill="background1"/>
        <w:ind w:left="426" w:right="-1"/>
        <w:jc w:val="both"/>
        <w:rPr>
          <w:sz w:val="24"/>
          <w:szCs w:val="24"/>
        </w:rPr>
      </w:pPr>
      <w:r>
        <w:rPr>
          <w:sz w:val="24"/>
          <w:szCs w:val="24"/>
        </w:rPr>
        <w:t>a) SICAF;</w:t>
      </w:r>
    </w:p>
    <w:p>
      <w:pPr>
        <w:pStyle w:val="ListParagraph"/>
        <w:shd w:val="clear" w:color="auto" w:fill="FFFFFF" w:themeFill="background1"/>
        <w:ind w:left="426" w:right="-1"/>
        <w:jc w:val="both"/>
        <w:rPr>
          <w:sz w:val="24"/>
          <w:szCs w:val="24"/>
        </w:rPr>
      </w:pPr>
      <w:r>
        <w:rPr>
          <w:sz w:val="24"/>
          <w:szCs w:val="24"/>
        </w:rPr>
        <w:t>b) Cadastro Nacional de Empresas Inidôneas e Suspensas - CEIS, mantido pela Controladoria-Geral da União (</w:t>
      </w:r>
      <w:hyperlink r:id="rId17">
        <w:r>
          <w:rPr>
            <w:rStyle w:val="Hyperlink"/>
            <w:sz w:val="24"/>
            <w:szCs w:val="24"/>
          </w:rPr>
          <w:t>www.portaldatransparencia.gov.br/ceis</w:t>
        </w:r>
      </w:hyperlink>
      <w:r>
        <w:rPr>
          <w:sz w:val="24"/>
          <w:szCs w:val="24"/>
        </w:rPr>
        <w:t>);</w:t>
      </w:r>
    </w:p>
    <w:p>
      <w:pPr>
        <w:pStyle w:val="ListParagraph"/>
        <w:shd w:val="clear" w:color="auto" w:fill="FFFFFF" w:themeFill="background1"/>
        <w:ind w:left="426" w:right="-1"/>
        <w:jc w:val="both"/>
        <w:rPr>
          <w:sz w:val="24"/>
          <w:szCs w:val="24"/>
        </w:rPr>
      </w:pPr>
      <w:r>
        <w:rPr>
          <w:sz w:val="24"/>
          <w:szCs w:val="24"/>
        </w:rPr>
        <w:t>c) Cadastro Nacional de Condenações Cíveis por Atos de Improbidade Administrativa, mantido pelo Conselho Nacional de Justiça (</w:t>
      </w:r>
      <w:hyperlink r:id="rId18">
        <w:r>
          <w:rPr>
            <w:rStyle w:val="Hyperlink"/>
            <w:sz w:val="24"/>
            <w:szCs w:val="24"/>
          </w:rPr>
          <w:t>www.cnj.jus.br/improbidade_adm/consultar_requerido.php</w:t>
        </w:r>
      </w:hyperlink>
      <w:r>
        <w:rPr>
          <w:sz w:val="24"/>
          <w:szCs w:val="24"/>
        </w:rPr>
        <w:t>).</w:t>
      </w:r>
    </w:p>
    <w:p>
      <w:pPr>
        <w:pStyle w:val="ListParagraph"/>
        <w:shd w:val="clear" w:color="auto" w:fill="FFFFFF" w:themeFill="background1"/>
        <w:ind w:left="426" w:right="-1"/>
        <w:jc w:val="both"/>
        <w:rPr>
          <w:sz w:val="24"/>
          <w:szCs w:val="24"/>
        </w:rPr>
      </w:pPr>
      <w:r>
        <w:rPr>
          <w:sz w:val="24"/>
          <w:szCs w:val="24"/>
        </w:rPr>
        <w:t>d) Lista de Inidôneos mantida pelo Tribunal de Contas da União - TCU; 6.2.1. Para a consulta de fornecedores pessoa jurídica poderá haver a substituição das consultas das alíneas “b”, “c” e “d” acima pela Consulta Consolidada de Pessoa Jurídica do TCU (</w:t>
      </w:r>
      <w:hyperlink r:id="rId19">
        <w:r>
          <w:rPr>
            <w:rStyle w:val="Hyperlink"/>
            <w:sz w:val="24"/>
            <w:szCs w:val="24"/>
          </w:rPr>
          <w:t>https://certidoesapf.apps.tcu.gov.br/</w:t>
        </w:r>
      </w:hyperlink>
      <w:r>
        <w:rPr>
          <w:sz w:val="24"/>
          <w:szCs w:val="24"/>
        </w:rPr>
        <w:t>).</w:t>
      </w:r>
    </w:p>
    <w:p>
      <w:pPr>
        <w:pStyle w:val="ListParagraph"/>
        <w:shd w:val="clear" w:color="auto" w:fill="FFFFFF" w:themeFill="background1"/>
        <w:ind w:left="426" w:right="-1"/>
        <w:jc w:val="both"/>
        <w:rPr>
          <w:sz w:val="24"/>
          <w:szCs w:val="24"/>
        </w:rPr>
      </w:pPr>
      <w:r>
        <w:rPr>
          <w:sz w:val="24"/>
          <w:szCs w:val="24"/>
        </w:rPr>
        <w:t>e) A(s) empresa(s) licitante(s) deverá(ão) apresentar atestado(s) de capacidade técnica, pertinente e compatível(is) com o objeto desta licitação, podendo o(s) mesmo(s) ser(em) emitido(s) por pessoa(s) jurídica(s) de direito público ou privado caso o(s) atestado(s) seja(m) emitido(s) por pessoa(s) jurídica(s) de direito privado, deverá(ão) obrigatoriamente ser(em) apresentado(s) com firma reconhecida em cartório.</w:t>
      </w:r>
    </w:p>
    <w:p>
      <w:pPr>
        <w:pStyle w:val="Normal"/>
        <w:ind w:left="709"/>
        <w:jc w:val="both"/>
        <w:rPr>
          <w:sz w:val="24"/>
          <w:szCs w:val="24"/>
        </w:rPr>
      </w:pPr>
      <w:r>
        <w:rPr>
          <w:sz w:val="24"/>
          <w:szCs w:val="24"/>
        </w:rPr>
        <w:t>e.1) O(s) atestado(s) de capacidade técnica deverão se referir a serviços prestados no âmbito de sua atividade econômica principal ou secundária, especificada no contrato social registrado na junta comercial competente, bem como no cadastro de pessoas jurídicas da Receita Federal do Brasil – RFB.</w:t>
      </w:r>
    </w:p>
    <w:p>
      <w:pPr>
        <w:pStyle w:val="Normal"/>
        <w:ind w:left="709"/>
        <w:jc w:val="both"/>
        <w:rPr>
          <w:sz w:val="24"/>
          <w:szCs w:val="24"/>
        </w:rPr>
      </w:pPr>
      <w:r>
        <w:rPr>
          <w:sz w:val="24"/>
          <w:szCs w:val="24"/>
        </w:rPr>
        <w:t>e.2) Não serão aceitos atestados emitidos pela própria licitante.</w:t>
      </w:r>
    </w:p>
    <w:p>
      <w:pPr>
        <w:pStyle w:val="Normal"/>
        <w:ind w:left="709"/>
        <w:jc w:val="both"/>
        <w:rPr>
          <w:sz w:val="24"/>
          <w:szCs w:val="24"/>
        </w:rPr>
      </w:pPr>
      <w:r>
        <w:rPr>
          <w:sz w:val="24"/>
          <w:szCs w:val="24"/>
        </w:rPr>
        <w:t>e.3) No caso de atestado emitido por empresa da iniciativa privada, não será considerado aquele emitido por empresa pertencente ao mesmo grupo empresarial da empresa proponente.</w:t>
      </w:r>
    </w:p>
    <w:p>
      <w:pPr>
        <w:pStyle w:val="Normal"/>
        <w:ind w:left="709"/>
        <w:jc w:val="both"/>
        <w:rPr>
          <w:sz w:val="24"/>
          <w:szCs w:val="24"/>
        </w:rPr>
      </w:pPr>
      <w:r>
        <w:rPr>
          <w:sz w:val="24"/>
          <w:szCs w:val="24"/>
        </w:rPr>
        <w:t>e.4) Serão consideradas como pertencentes ao mesmo grupo empresarial, empresas controladas ou controladoras da empresa proponente ou que tenha pelo menos uma mesma pessoa física ou jurídica, proprietário ou titular da empresa emitente e da empresa proponente.</w:t>
      </w:r>
    </w:p>
    <w:p>
      <w:pPr>
        <w:pStyle w:val="Normal"/>
        <w:spacing w:lineRule="auto" w:line="276"/>
        <w:jc w:val="both"/>
        <w:rPr>
          <w:bCs/>
          <w:sz w:val="24"/>
          <w:szCs w:val="24"/>
          <w:lang w:val="pt-PT" w:bidi="pt-PT"/>
        </w:rPr>
      </w:pPr>
      <w:r>
        <w:rPr>
          <w:bCs/>
          <w:sz w:val="24"/>
          <w:szCs w:val="24"/>
          <w:lang w:val="pt-PT" w:bidi="pt-PT"/>
        </w:rPr>
      </w:r>
    </w:p>
    <w:p>
      <w:pPr>
        <w:pStyle w:val="Normal"/>
        <w:pBdr>
          <w:top w:val="single" w:sz="4" w:space="1" w:color="000000"/>
          <w:left w:val="single" w:sz="4" w:space="4" w:color="000000"/>
          <w:bottom w:val="single" w:sz="4" w:space="1" w:color="000000"/>
          <w:right w:val="single" w:sz="4" w:space="4" w:color="000000"/>
        </w:pBdr>
        <w:shd w:val="clear" w:color="auto" w:fill="A6A6A6" w:themeFill="background1" w:themeFillShade="a6"/>
        <w:spacing w:lineRule="auto" w:line="276"/>
        <w:ind w:hanging="142" w:left="142"/>
        <w:jc w:val="both"/>
        <w:rPr>
          <w:bCs/>
          <w:color w:themeColor="text1" w:val="000000"/>
          <w:sz w:val="24"/>
          <w:szCs w:val="24"/>
        </w:rPr>
      </w:pPr>
      <w:r>
        <w:rPr>
          <w:b/>
          <w:bCs/>
          <w:color w:themeColor="text1" w:val="000000"/>
          <w:sz w:val="24"/>
          <w:szCs w:val="24"/>
        </w:rPr>
        <w:t xml:space="preserve">10. DAS PENALIDADES: </w:t>
      </w:r>
    </w:p>
    <w:p>
      <w:pPr>
        <w:pStyle w:val="Normal"/>
        <w:spacing w:lineRule="auto" w:line="276"/>
        <w:jc w:val="both"/>
        <w:rPr>
          <w:sz w:val="24"/>
          <w:szCs w:val="24"/>
        </w:rPr>
      </w:pPr>
      <w:bookmarkStart w:id="16" w:name="_Hlk156466179"/>
      <w:r>
        <w:rPr>
          <w:sz w:val="24"/>
          <w:szCs w:val="24"/>
        </w:rPr>
        <w:t>10.1. Na hipótese da ocorrência de quaisquer infrações contratuais ou legais, especialmente de inadimplemento de obrigação pela CONTRATADA, esta estará sujeita às sanções previstas nos Art. 156 e 157 da Lei nº 14.133/21, e à rescisão do instrumento contratual, na forma prevista nos Art. 115 e 139 da Lei nº 14.133/21.</w:t>
      </w:r>
    </w:p>
    <w:p>
      <w:pPr>
        <w:pStyle w:val="Normal"/>
        <w:spacing w:lineRule="auto" w:line="276"/>
        <w:jc w:val="both"/>
        <w:rPr>
          <w:sz w:val="24"/>
          <w:szCs w:val="24"/>
        </w:rPr>
      </w:pPr>
      <w:r>
        <w:rPr>
          <w:b/>
          <w:bCs/>
          <w:sz w:val="24"/>
          <w:szCs w:val="24"/>
        </w:rPr>
        <w:t>10.2.</w:t>
      </w:r>
      <w:r>
        <w:rPr>
          <w:sz w:val="24"/>
          <w:szCs w:val="24"/>
        </w:rPr>
        <w:t xml:space="preserve"> Para fixação das penalidades, serão observados os seguintes critérios:</w:t>
      </w:r>
    </w:p>
    <w:p>
      <w:pPr>
        <w:pStyle w:val="Normal"/>
        <w:widowControl w:val="false"/>
        <w:spacing w:lineRule="auto" w:line="276"/>
        <w:jc w:val="both"/>
        <w:rPr>
          <w:bCs/>
          <w:sz w:val="24"/>
          <w:szCs w:val="24"/>
        </w:rPr>
      </w:pPr>
      <w:r>
        <w:rPr>
          <w:b/>
          <w:bCs/>
          <w:sz w:val="24"/>
          <w:szCs w:val="24"/>
        </w:rPr>
        <w:t>I.</w:t>
      </w:r>
      <w:r>
        <w:rPr>
          <w:bCs/>
          <w:sz w:val="24"/>
          <w:szCs w:val="24"/>
        </w:rPr>
        <w:t xml:space="preserve"> Por atraso injustificado no início da entrega/execução dos materiais/serviços;</w:t>
      </w:r>
    </w:p>
    <w:p>
      <w:pPr>
        <w:pStyle w:val="Normal"/>
        <w:widowControl w:val="false"/>
        <w:spacing w:lineRule="auto" w:line="276"/>
        <w:jc w:val="both"/>
        <w:rPr>
          <w:bCs/>
          <w:sz w:val="24"/>
          <w:szCs w:val="24"/>
        </w:rPr>
      </w:pPr>
      <w:r>
        <w:rPr>
          <w:b/>
          <w:bCs/>
          <w:sz w:val="24"/>
          <w:szCs w:val="24"/>
        </w:rPr>
        <w:t>a)</w:t>
      </w:r>
      <w:r>
        <w:rPr>
          <w:bCs/>
          <w:sz w:val="24"/>
          <w:szCs w:val="24"/>
        </w:rPr>
        <w:t xml:space="preserve"> Atraso de até 5 (cinco) dias, multa de 2% (dois por cento), do valor adjudicado;</w:t>
      </w:r>
    </w:p>
    <w:p>
      <w:pPr>
        <w:pStyle w:val="Normal"/>
        <w:widowControl w:val="false"/>
        <w:spacing w:lineRule="auto" w:line="276"/>
        <w:jc w:val="both"/>
        <w:rPr>
          <w:bCs/>
          <w:sz w:val="24"/>
          <w:szCs w:val="24"/>
        </w:rPr>
      </w:pPr>
      <w:r>
        <w:rPr>
          <w:b/>
          <w:bCs/>
          <w:sz w:val="24"/>
          <w:szCs w:val="24"/>
        </w:rPr>
        <w:t>b)</w:t>
      </w:r>
      <w:r>
        <w:rPr>
          <w:bCs/>
          <w:sz w:val="24"/>
          <w:szCs w:val="24"/>
        </w:rPr>
        <w:t xml:space="preserve"> Atraso superior a 10 (dez) dias, multa de 4% (quatro por cento), do valor adjudicado, sem prejuízo das demais cominações legais; e</w:t>
      </w:r>
    </w:p>
    <w:p>
      <w:pPr>
        <w:pStyle w:val="Normal"/>
        <w:widowControl w:val="false"/>
        <w:spacing w:lineRule="auto" w:line="276"/>
        <w:jc w:val="both"/>
        <w:rPr>
          <w:bCs/>
          <w:sz w:val="24"/>
          <w:szCs w:val="24"/>
        </w:rPr>
      </w:pPr>
      <w:r>
        <w:rPr>
          <w:b/>
          <w:bCs/>
          <w:sz w:val="24"/>
          <w:szCs w:val="24"/>
        </w:rPr>
        <w:t>c)</w:t>
      </w:r>
      <w:r>
        <w:rPr>
          <w:bCs/>
          <w:sz w:val="24"/>
          <w:szCs w:val="24"/>
        </w:rPr>
        <w:t xml:space="preserve"> No caso de atraso no recolhimento da multa aplicada, incidirá nova multa sobre o valor devido, equivalente a 0,5% (cinco centésimos por cento) até 10 (dez) dias de atraso e 1% (um por cento) do valor adjudicado, acima desse prazo, calculado sobre o total dos dias em atraso;</w:t>
      </w:r>
    </w:p>
    <w:p>
      <w:pPr>
        <w:pStyle w:val="Normal"/>
        <w:widowControl w:val="false"/>
        <w:spacing w:lineRule="auto" w:line="276"/>
        <w:jc w:val="both"/>
        <w:rPr>
          <w:bCs/>
          <w:sz w:val="24"/>
          <w:szCs w:val="24"/>
        </w:rPr>
      </w:pPr>
      <w:r>
        <w:rPr>
          <w:b/>
          <w:bCs/>
          <w:sz w:val="24"/>
          <w:szCs w:val="24"/>
        </w:rPr>
        <w:t>II.</w:t>
      </w:r>
      <w:r>
        <w:rPr>
          <w:bCs/>
          <w:sz w:val="24"/>
          <w:szCs w:val="24"/>
        </w:rPr>
        <w:t xml:space="preserve"> Pela inexecução parcial das condições estabelecidas neste instrumento, o CROMT poderá garantida a prévia defesa, aplicar também, as seguintes sanções:</w:t>
      </w:r>
    </w:p>
    <w:p>
      <w:pPr>
        <w:pStyle w:val="Normal"/>
        <w:tabs>
          <w:tab w:val="clear" w:pos="708"/>
          <w:tab w:val="left" w:pos="1276" w:leader="none"/>
        </w:tabs>
        <w:spacing w:lineRule="auto" w:line="276"/>
        <w:jc w:val="both"/>
        <w:rPr>
          <w:sz w:val="24"/>
          <w:szCs w:val="24"/>
        </w:rPr>
      </w:pPr>
      <w:r>
        <w:rPr>
          <w:sz w:val="24"/>
          <w:szCs w:val="24"/>
        </w:rPr>
        <w:t>a) Advertência por escrito, admitida inicialmente, pela infringência de qualquer item pactuado, desde que sem consequências nos prazos e nos valores do CONTRATO;</w:t>
      </w:r>
    </w:p>
    <w:p>
      <w:pPr>
        <w:pStyle w:val="Normal"/>
        <w:widowControl w:val="false"/>
        <w:spacing w:lineRule="auto" w:line="276"/>
        <w:jc w:val="both"/>
        <w:rPr>
          <w:sz w:val="24"/>
          <w:szCs w:val="24"/>
        </w:rPr>
      </w:pPr>
      <w:r>
        <w:rPr>
          <w:b/>
          <w:bCs/>
          <w:sz w:val="24"/>
          <w:szCs w:val="24"/>
        </w:rPr>
        <w:t xml:space="preserve">b) </w:t>
      </w:r>
      <w:r>
        <w:rPr>
          <w:sz w:val="24"/>
          <w:szCs w:val="24"/>
        </w:rPr>
        <w:t>multa de até 6% (seis por cento) sobre o valor homologado, atualizado, recolhida no prazo de 15 (quinze) dias corridos, contados da comunicação oficial, sem embargo de indenização dos prejuízos porventura causados ao Conselho Regional de Odontologia de Mato Grosso, sendo que a multa poderá ser cumulada com outras sanções;</w:t>
      </w:r>
    </w:p>
    <w:p>
      <w:pPr>
        <w:pStyle w:val="Normal"/>
        <w:widowControl w:val="false"/>
        <w:spacing w:lineRule="auto" w:line="276"/>
        <w:jc w:val="both"/>
        <w:rPr>
          <w:sz w:val="24"/>
          <w:szCs w:val="24"/>
        </w:rPr>
      </w:pPr>
      <w:r>
        <w:rPr>
          <w:b/>
          <w:bCs/>
          <w:sz w:val="24"/>
          <w:szCs w:val="24"/>
        </w:rPr>
        <w:t xml:space="preserve">c) </w:t>
      </w:r>
      <w:r>
        <w:rPr>
          <w:sz w:val="24"/>
          <w:szCs w:val="24"/>
        </w:rPr>
        <w:t>suspensão temporária de participação em licitação e impedimento de licitar e contratar com o Conselho Regional de Odontologia de Mato Grosso.</w:t>
      </w:r>
    </w:p>
    <w:p>
      <w:pPr>
        <w:pStyle w:val="Normal"/>
        <w:widowControl w:val="false"/>
        <w:spacing w:lineRule="auto" w:line="276"/>
        <w:jc w:val="both"/>
        <w:rPr>
          <w:bCs/>
          <w:sz w:val="24"/>
          <w:szCs w:val="24"/>
        </w:rPr>
      </w:pPr>
      <w:r>
        <w:rPr>
          <w:b/>
          <w:bCs/>
          <w:sz w:val="24"/>
          <w:szCs w:val="24"/>
        </w:rPr>
        <w:t>III.</w:t>
      </w:r>
      <w:r>
        <w:rPr>
          <w:bCs/>
          <w:sz w:val="24"/>
          <w:szCs w:val="24"/>
        </w:rPr>
        <w:t xml:space="preserve"> Pela inexecução total das condições estabelecidas neste instrumento, o CROMT poderá garantida a prévia defesa, aplicar também, as seguintes sanções:</w:t>
      </w:r>
    </w:p>
    <w:p>
      <w:pPr>
        <w:pStyle w:val="Normal"/>
        <w:tabs>
          <w:tab w:val="clear" w:pos="708"/>
          <w:tab w:val="left" w:pos="1276" w:leader="none"/>
        </w:tabs>
        <w:spacing w:lineRule="auto" w:line="276"/>
        <w:jc w:val="both"/>
        <w:rPr>
          <w:sz w:val="24"/>
          <w:szCs w:val="24"/>
        </w:rPr>
      </w:pPr>
      <w:r>
        <w:rPr>
          <w:sz w:val="24"/>
          <w:szCs w:val="24"/>
        </w:rPr>
        <w:t>a) Advertência por escrito, admitida inicialmente, pela infringência de qualquer item pactuado, desde que sem consequências nos prazos e nos valores do CONTRATO;</w:t>
      </w:r>
    </w:p>
    <w:p>
      <w:pPr>
        <w:pStyle w:val="Normal"/>
        <w:widowControl w:val="false"/>
        <w:spacing w:lineRule="auto" w:line="276"/>
        <w:jc w:val="both"/>
        <w:rPr>
          <w:sz w:val="24"/>
          <w:szCs w:val="24"/>
        </w:rPr>
      </w:pPr>
      <w:r>
        <w:rPr>
          <w:b/>
          <w:bCs/>
          <w:sz w:val="24"/>
          <w:szCs w:val="24"/>
        </w:rPr>
        <w:t xml:space="preserve">b) </w:t>
      </w:r>
      <w:r>
        <w:rPr>
          <w:sz w:val="24"/>
          <w:szCs w:val="24"/>
        </w:rPr>
        <w:t>multa de até 10% (dez por cento) sobre o valor homologado, atualizado, recolhida no prazo de 15 (quinze) dias corridos, contados da comunicação oficial, sem embargo de indenização dos prejuízos porventura causados ao Conselho Regional de Odontologia de Mato Grosso, sendo que a multa poderá ser cumulada com outras sanções;</w:t>
      </w:r>
    </w:p>
    <w:p>
      <w:pPr>
        <w:pStyle w:val="Normal"/>
        <w:widowControl w:val="false"/>
        <w:spacing w:lineRule="auto" w:line="276"/>
        <w:jc w:val="both"/>
        <w:rPr>
          <w:sz w:val="24"/>
          <w:szCs w:val="24"/>
        </w:rPr>
      </w:pPr>
      <w:r>
        <w:rPr>
          <w:b/>
          <w:bCs/>
          <w:sz w:val="24"/>
          <w:szCs w:val="24"/>
        </w:rPr>
        <w:t xml:space="preserve">c) </w:t>
      </w:r>
      <w:r>
        <w:rPr>
          <w:sz w:val="24"/>
          <w:szCs w:val="24"/>
        </w:rPr>
        <w:t>suspensão temporária de participação em licitação e impedimento de licitar e contratar com o Conselho Regional de Odontologia de Mato Grosso.</w:t>
      </w:r>
    </w:p>
    <w:p>
      <w:pPr>
        <w:pStyle w:val="Normal"/>
        <w:widowControl w:val="false"/>
        <w:spacing w:lineRule="auto" w:line="276"/>
        <w:jc w:val="both"/>
        <w:rPr>
          <w:color w:val="000000"/>
          <w:sz w:val="24"/>
          <w:szCs w:val="24"/>
          <w:shd w:fill="FFFFFF" w:val="clear"/>
        </w:rPr>
      </w:pPr>
      <w:r>
        <w:rPr>
          <w:sz w:val="24"/>
          <w:szCs w:val="24"/>
        </w:rPr>
        <w:t>d) D</w:t>
      </w:r>
      <w:r>
        <w:rPr>
          <w:color w:val="000000"/>
          <w:sz w:val="24"/>
          <w:szCs w:val="24"/>
          <w:shd w:fill="FFFFFF" w:val="clear"/>
        </w:rPr>
        <w:t>eclaração de inidoneidade para licitar ou contratar com a Administração Pública.</w:t>
      </w:r>
    </w:p>
    <w:p>
      <w:pPr>
        <w:pStyle w:val="Normal"/>
        <w:widowControl w:val="false"/>
        <w:spacing w:lineRule="auto" w:line="276"/>
        <w:jc w:val="both"/>
        <w:rPr>
          <w:sz w:val="24"/>
          <w:szCs w:val="24"/>
        </w:rPr>
      </w:pPr>
      <w:r>
        <w:rPr>
          <w:b/>
          <w:bCs/>
          <w:sz w:val="24"/>
          <w:szCs w:val="24"/>
        </w:rPr>
        <w:t xml:space="preserve">Parágrafo Primeiro: </w:t>
      </w:r>
      <w:r>
        <w:rPr>
          <w:sz w:val="24"/>
          <w:szCs w:val="24"/>
        </w:rPr>
        <w:t>As multas serão descontadas dos créditos da empresa ou cobradas administrativa ou judicialmente;</w:t>
      </w:r>
    </w:p>
    <w:p>
      <w:pPr>
        <w:pStyle w:val="Normal"/>
        <w:widowControl w:val="false"/>
        <w:spacing w:lineRule="auto" w:line="276"/>
        <w:jc w:val="both"/>
        <w:rPr>
          <w:sz w:val="24"/>
          <w:szCs w:val="24"/>
        </w:rPr>
      </w:pPr>
      <w:r>
        <w:rPr>
          <w:b/>
          <w:bCs/>
          <w:sz w:val="24"/>
          <w:szCs w:val="24"/>
        </w:rPr>
        <w:t xml:space="preserve">Parágrafo Segundo: </w:t>
      </w:r>
      <w:r>
        <w:rPr>
          <w:sz w:val="24"/>
          <w:szCs w:val="24"/>
        </w:rPr>
        <w:t>As penalidades previstas neste item têm caráter de sanção administrativa, consequentemente, a sua aplicação não exime a empresa detentora do contrato, da reparação das eventuais perdas e danos que seu ato venha acarretar ao Conselho Regional de Odontologia de Mato Grosso;</w:t>
      </w:r>
    </w:p>
    <w:p>
      <w:pPr>
        <w:pStyle w:val="Normal"/>
        <w:widowControl w:val="false"/>
        <w:spacing w:lineRule="auto" w:line="276"/>
        <w:jc w:val="both"/>
        <w:rPr>
          <w:sz w:val="24"/>
          <w:szCs w:val="24"/>
        </w:rPr>
      </w:pPr>
      <w:r>
        <w:rPr>
          <w:b/>
          <w:bCs/>
          <w:sz w:val="24"/>
          <w:szCs w:val="24"/>
        </w:rPr>
        <w:t xml:space="preserve">Parágrafo Terceiro: </w:t>
      </w:r>
      <w:r>
        <w:rPr>
          <w:sz w:val="24"/>
          <w:szCs w:val="24"/>
        </w:rPr>
        <w:t>As penalidades são independentes e a aplicação de uma não exclui a das demais, quando cabíveis, facultada à defesa prévia do interessado;</w:t>
      </w:r>
    </w:p>
    <w:p>
      <w:pPr>
        <w:pStyle w:val="Normal"/>
        <w:tabs>
          <w:tab w:val="clear" w:pos="708"/>
          <w:tab w:val="left" w:pos="851" w:leader="none"/>
        </w:tabs>
        <w:spacing w:lineRule="auto" w:line="276"/>
        <w:jc w:val="both"/>
        <w:rPr>
          <w:sz w:val="24"/>
          <w:szCs w:val="24"/>
        </w:rPr>
      </w:pPr>
      <w:r>
        <w:rPr>
          <w:b/>
          <w:sz w:val="24"/>
          <w:szCs w:val="24"/>
        </w:rPr>
        <w:t>10.3.</w:t>
      </w:r>
      <w:r>
        <w:rPr>
          <w:sz w:val="24"/>
          <w:szCs w:val="24"/>
        </w:rPr>
        <w:t xml:space="preserve"> Serão assegurados à CONTRATADA, em qualquer caso, o contraditório e a ampla defesa, consoante o Art. 156 e o Art. 187, ambos da Lei nº 14.133/21.</w:t>
      </w:r>
    </w:p>
    <w:p>
      <w:pPr>
        <w:pStyle w:val="Normal"/>
        <w:widowControl w:val="false"/>
        <w:spacing w:lineRule="auto" w:line="276"/>
        <w:jc w:val="both"/>
        <w:rPr>
          <w:sz w:val="24"/>
          <w:szCs w:val="24"/>
        </w:rPr>
      </w:pPr>
      <w:r>
        <w:rPr>
          <w:b/>
          <w:sz w:val="24"/>
          <w:szCs w:val="24"/>
        </w:rPr>
        <w:t>10.4.</w:t>
      </w:r>
      <w:r>
        <w:rPr>
          <w:sz w:val="24"/>
          <w:szCs w:val="24"/>
        </w:rPr>
        <w:t xml:space="preserve"> A imposição de qualquer penalidade não exime a CONTRATADA do cumprimento de suas obrigações, nem de promover as medidas necessárias para reparar ou ressarcir eventuais danos causados à CONTRATANTE.</w:t>
      </w:r>
    </w:p>
    <w:p>
      <w:pPr>
        <w:pStyle w:val="Normal"/>
        <w:widowControl w:val="false"/>
        <w:spacing w:lineRule="auto" w:line="276"/>
        <w:jc w:val="both"/>
        <w:rPr>
          <w:sz w:val="24"/>
          <w:szCs w:val="24"/>
          <w:highlight w:val="yellow"/>
        </w:rPr>
      </w:pPr>
      <w:r>
        <w:rPr>
          <w:b/>
          <w:bCs/>
          <w:sz w:val="24"/>
          <w:szCs w:val="24"/>
        </w:rPr>
        <w:t xml:space="preserve">10.5. </w:t>
      </w:r>
      <w:r>
        <w:rPr>
          <w:sz w:val="24"/>
          <w:szCs w:val="24"/>
        </w:rPr>
        <w:t>Nas hipóteses de apresentação de documentação inverossímil, cometimento de fraude ou comportamento de modo inidôneo, a licitante poderá sofrer, além dos procedimentos cabíveis de atribuição desta instituição:</w:t>
      </w:r>
    </w:p>
    <w:p>
      <w:pPr>
        <w:pStyle w:val="Normal"/>
        <w:widowControl w:val="false"/>
        <w:spacing w:lineRule="auto" w:line="276"/>
        <w:ind w:firstLine="567"/>
        <w:jc w:val="both"/>
        <w:rPr>
          <w:sz w:val="24"/>
          <w:szCs w:val="24"/>
        </w:rPr>
      </w:pPr>
      <w:r>
        <w:rPr>
          <w:bCs/>
          <w:sz w:val="24"/>
          <w:szCs w:val="24"/>
        </w:rPr>
        <w:t xml:space="preserve">a) </w:t>
      </w:r>
      <w:r>
        <w:rPr>
          <w:sz w:val="24"/>
          <w:szCs w:val="24"/>
        </w:rPr>
        <w:t>Cancelamento do contrato se esta já estiver assinado, procedendo-se a paralisação do fornecimento;</w:t>
      </w:r>
    </w:p>
    <w:p>
      <w:pPr>
        <w:pStyle w:val="Normal"/>
        <w:widowControl w:val="false"/>
        <w:spacing w:lineRule="auto" w:line="276"/>
        <w:jc w:val="both"/>
        <w:rPr>
          <w:sz w:val="24"/>
          <w:szCs w:val="24"/>
        </w:rPr>
      </w:pPr>
      <w:r>
        <w:rPr>
          <w:b/>
          <w:bCs/>
          <w:sz w:val="24"/>
          <w:szCs w:val="24"/>
        </w:rPr>
        <w:t xml:space="preserve">10.6. </w:t>
      </w:r>
      <w:r>
        <w:rPr>
          <w:sz w:val="24"/>
          <w:szCs w:val="24"/>
        </w:rPr>
        <w:t>Serão publicadas no Diário Oficial da União as sanções administrativas, inclusive a reabilitação perante a Administração Pública</w:t>
      </w:r>
      <w:bookmarkEnd w:id="16"/>
      <w:r>
        <w:rPr>
          <w:sz w:val="24"/>
          <w:szCs w:val="24"/>
        </w:rPr>
        <w:t>.</w:t>
      </w:r>
    </w:p>
    <w:p>
      <w:pPr>
        <w:pStyle w:val="Normal"/>
        <w:pBdr>
          <w:top w:val="single" w:sz="4" w:space="1" w:color="000000"/>
          <w:left w:val="single" w:sz="4" w:space="4" w:color="000000"/>
          <w:bottom w:val="single" w:sz="4" w:space="1" w:color="000000"/>
          <w:right w:val="single" w:sz="4" w:space="4" w:color="000000"/>
        </w:pBdr>
        <w:shd w:val="clear" w:color="auto" w:fill="A6A6A6" w:themeFill="background1" w:themeFillShade="a6"/>
        <w:spacing w:lineRule="auto" w:line="276"/>
        <w:jc w:val="both"/>
        <w:rPr>
          <w:b/>
          <w:bCs/>
          <w:sz w:val="24"/>
          <w:szCs w:val="24"/>
        </w:rPr>
      </w:pPr>
      <w:r>
        <w:rPr>
          <w:b/>
          <w:bCs/>
          <w:sz w:val="24"/>
          <w:szCs w:val="24"/>
        </w:rPr>
        <w:t>11. DO FATURAMENTO E DO PAGAMENTO:</w:t>
      </w:r>
    </w:p>
    <w:p>
      <w:pPr>
        <w:pStyle w:val="BodyText"/>
        <w:shd w:val="clear" w:color="auto" w:fill="FFFFFF"/>
        <w:spacing w:lineRule="auto" w:line="276"/>
        <w:jc w:val="both"/>
        <w:rPr>
          <w:sz w:val="24"/>
          <w:szCs w:val="24"/>
        </w:rPr>
      </w:pPr>
      <w:r>
        <w:rPr>
          <w:bCs w:val="false"/>
          <w:sz w:val="24"/>
          <w:szCs w:val="24"/>
          <w:lang w:eastAsia="en-US"/>
        </w:rPr>
        <w:t>11</w:t>
      </w:r>
      <w:r>
        <w:rPr>
          <w:sz w:val="24"/>
          <w:szCs w:val="24"/>
          <w:lang w:eastAsia="en-US"/>
        </w:rPr>
        <w:t xml:space="preserve">.1. </w:t>
      </w:r>
      <w:r>
        <w:rPr>
          <w:sz w:val="24"/>
          <w:szCs w:val="24"/>
        </w:rPr>
        <w:t>As Notas Fiscais / Faturas devem ser discriminativas, em nome do CROMT.</w:t>
      </w:r>
    </w:p>
    <w:p>
      <w:pPr>
        <w:pStyle w:val="BodyText"/>
        <w:shd w:val="clear" w:color="auto" w:fill="FFFFFF"/>
        <w:spacing w:lineRule="auto" w:line="276"/>
        <w:jc w:val="both"/>
        <w:rPr>
          <w:sz w:val="24"/>
          <w:szCs w:val="24"/>
        </w:rPr>
      </w:pPr>
      <w:r>
        <w:rPr>
          <w:sz w:val="24"/>
          <w:szCs w:val="24"/>
        </w:rPr>
      </w:r>
    </w:p>
    <w:p>
      <w:pPr>
        <w:pStyle w:val="BodyText"/>
        <w:shd w:val="clear" w:color="auto" w:fill="FFFFFF"/>
        <w:spacing w:lineRule="auto" w:line="276"/>
        <w:jc w:val="both"/>
        <w:rPr>
          <w:sz w:val="24"/>
          <w:szCs w:val="24"/>
        </w:rPr>
      </w:pPr>
      <w:r>
        <w:rPr>
          <w:sz w:val="24"/>
          <w:szCs w:val="24"/>
        </w:rPr>
        <w:t>11.2 A (s) Nota (s) Fiscal (is) do (s) serviço (s) prestado (s) deverá ser remetida com antecedência mínima de 10 (dez) dias úteis em relação à data de seu vencimento e deve conter todos os dados da empresa, se é optante pelo simples nacional, o número da nota de empenho e/ou contrato e a descrição do objeto com a quantidade, para que o Fiscal do Contrato possa realizar sua verificação e, não havendo problemas, atestá-la</w:t>
      </w:r>
      <w:r>
        <w:rPr>
          <w:b/>
          <w:sz w:val="24"/>
          <w:szCs w:val="24"/>
        </w:rPr>
        <w:t>.</w:t>
      </w:r>
      <w:r>
        <w:rPr>
          <w:sz w:val="24"/>
          <w:szCs w:val="24"/>
        </w:rPr>
        <w:t xml:space="preserve"> O pagamento será efetuado nos dias 10 e/ou 20 do mês subsequente a prestação/aquisição do serviço/material, devendo apresentar Nota Fiscal e/ou documentos fiscal com 10 (dez) dias de antecedência das datas programadas para pagamento de fornecedores;</w:t>
      </w:r>
    </w:p>
    <w:p>
      <w:pPr>
        <w:pStyle w:val="BodyText"/>
        <w:shd w:val="clear" w:color="auto" w:fill="FFFFFF"/>
        <w:spacing w:lineRule="auto" w:line="276"/>
        <w:jc w:val="both"/>
        <w:rPr>
          <w:sz w:val="24"/>
          <w:szCs w:val="24"/>
        </w:rPr>
      </w:pPr>
      <w:r>
        <w:rPr>
          <w:sz w:val="24"/>
          <w:szCs w:val="24"/>
        </w:rPr>
      </w:r>
    </w:p>
    <w:p>
      <w:pPr>
        <w:pStyle w:val="BodyText"/>
        <w:shd w:val="clear" w:color="auto" w:fill="FFFFFF"/>
        <w:spacing w:lineRule="auto" w:line="276"/>
        <w:jc w:val="both"/>
        <w:rPr>
          <w:sz w:val="24"/>
          <w:szCs w:val="24"/>
        </w:rPr>
      </w:pPr>
      <w:r>
        <w:rPr>
          <w:sz w:val="24"/>
          <w:szCs w:val="24"/>
        </w:rPr>
        <w:t>11.3. Deverão acompanhar a fatura todos os recibos das entregas ocorridas durante o mês e apresentada Declaração nos moldes Instrução Normativa RFB Nº 1234/2012, no caso da Contratada ser optante pelo Simples Nacional.</w:t>
      </w:r>
    </w:p>
    <w:p>
      <w:pPr>
        <w:pStyle w:val="BodyText"/>
        <w:shd w:val="clear" w:color="auto" w:fill="FFFFFF"/>
        <w:spacing w:lineRule="auto" w:line="276"/>
        <w:jc w:val="both"/>
        <w:rPr>
          <w:sz w:val="24"/>
          <w:szCs w:val="24"/>
        </w:rPr>
      </w:pPr>
      <w:r>
        <w:rPr>
          <w:sz w:val="24"/>
          <w:szCs w:val="24"/>
        </w:rPr>
      </w:r>
    </w:p>
    <w:p>
      <w:pPr>
        <w:pStyle w:val="Normal"/>
        <w:pBdr>
          <w:top w:val="single" w:sz="4" w:space="1" w:color="000000"/>
          <w:left w:val="single" w:sz="4" w:space="4" w:color="000000"/>
          <w:bottom w:val="single" w:sz="4" w:space="1" w:color="000000"/>
          <w:right w:val="single" w:sz="4" w:space="4" w:color="000000"/>
        </w:pBdr>
        <w:shd w:val="clear" w:color="auto" w:fill="A6A6A6" w:themeFill="background1" w:themeFillShade="a6"/>
        <w:spacing w:lineRule="auto" w:line="276"/>
        <w:jc w:val="both"/>
        <w:rPr>
          <w:bCs/>
          <w:sz w:val="24"/>
          <w:szCs w:val="24"/>
        </w:rPr>
      </w:pPr>
      <w:r>
        <w:rPr>
          <w:b/>
          <w:bCs/>
          <w:sz w:val="24"/>
          <w:szCs w:val="24"/>
        </w:rPr>
        <w:t>12. DO CONTRATO E SUA VIGÊNCIA:</w:t>
      </w:r>
    </w:p>
    <w:p>
      <w:pPr>
        <w:pStyle w:val="Normal"/>
        <w:spacing w:lineRule="auto" w:line="276"/>
        <w:jc w:val="both"/>
        <w:rPr>
          <w:sz w:val="24"/>
          <w:szCs w:val="24"/>
        </w:rPr>
      </w:pPr>
      <w:r>
        <w:rPr>
          <w:sz w:val="24"/>
          <w:szCs w:val="24"/>
        </w:rPr>
        <w:t xml:space="preserve">12.1. O período de vigência do contrato será de 12 (doze) meses, a contar da data de assinatura, podendo ser prorrogado por igual período e assim sucessivamente até o total de 60 (sessenta) meses, por conveniência das partes, tendo eficácia após a publicação em forma de extrato no Diário Eletrônico Oficial da União. </w:t>
      </w:r>
    </w:p>
    <w:p>
      <w:pPr>
        <w:pStyle w:val="Normal"/>
        <w:spacing w:lineRule="auto" w:line="276"/>
        <w:jc w:val="both"/>
        <w:rPr>
          <w:sz w:val="24"/>
          <w:szCs w:val="24"/>
        </w:rPr>
      </w:pPr>
      <w:r>
        <w:rPr>
          <w:sz w:val="24"/>
          <w:szCs w:val="24"/>
        </w:rPr>
      </w:r>
    </w:p>
    <w:p>
      <w:pPr>
        <w:pStyle w:val="Normal"/>
        <w:spacing w:lineRule="auto" w:line="276"/>
        <w:jc w:val="both"/>
        <w:rPr>
          <w:sz w:val="24"/>
          <w:szCs w:val="24"/>
        </w:rPr>
      </w:pPr>
      <w:r>
        <w:rPr>
          <w:sz w:val="24"/>
          <w:szCs w:val="24"/>
        </w:rPr>
        <w:t xml:space="preserve">12.2. A Contratada fica obrigada a aceita, nas mesmas condições contratuais, os acréscimos ou supressões que se fizerem necessários, até 25% (vinte e cinco por cento) do valor inicial atualizado do contrato, conforme art. 124 da lei 14.133/21. </w:t>
      </w:r>
    </w:p>
    <w:p>
      <w:pPr>
        <w:pStyle w:val="Normal"/>
        <w:spacing w:lineRule="auto" w:line="276"/>
        <w:jc w:val="both"/>
        <w:rPr>
          <w:sz w:val="24"/>
          <w:szCs w:val="24"/>
        </w:rPr>
      </w:pPr>
      <w:r>
        <w:rPr>
          <w:sz w:val="24"/>
          <w:szCs w:val="24"/>
        </w:rPr>
      </w:r>
    </w:p>
    <w:p>
      <w:pPr>
        <w:pStyle w:val="Normal"/>
        <w:spacing w:lineRule="auto" w:line="276"/>
        <w:jc w:val="both"/>
        <w:rPr>
          <w:sz w:val="24"/>
          <w:szCs w:val="24"/>
        </w:rPr>
      </w:pPr>
      <w:r>
        <w:rPr>
          <w:sz w:val="24"/>
          <w:szCs w:val="24"/>
        </w:rPr>
        <w:t xml:space="preserve">12.3. A execução do contrato, bem como os casos nele omissos, regular-se-ão pelas cláusulas contratuais e pelos preceitos de direto público, aplicando-se supletivamente os princípios da teoria geral dos contratos e as disposições de direito privado, na forma do artigo 89 da Lei n.º 14.133/21 combinado com do artigo 92, do mesmo diploma legal. </w:t>
      </w:r>
    </w:p>
    <w:p>
      <w:pPr>
        <w:pStyle w:val="Normal"/>
        <w:spacing w:lineRule="auto" w:line="276"/>
        <w:jc w:val="both"/>
        <w:rPr>
          <w:sz w:val="24"/>
          <w:szCs w:val="24"/>
        </w:rPr>
      </w:pPr>
      <w:r>
        <w:rPr>
          <w:sz w:val="24"/>
          <w:szCs w:val="24"/>
        </w:rPr>
        <w:t>12.4 É vedado cauciona ou utilizar o contrato decorrente do presente instrumento para qualquer operação financeira sem prévia e expressão do CROMT.</w:t>
      </w:r>
    </w:p>
    <w:p>
      <w:pPr>
        <w:pStyle w:val="Normal"/>
        <w:spacing w:lineRule="auto" w:line="276"/>
        <w:jc w:val="both"/>
        <w:rPr>
          <w:sz w:val="24"/>
          <w:szCs w:val="24"/>
        </w:rPr>
      </w:pPr>
      <w:r>
        <w:rPr>
          <w:sz w:val="24"/>
          <w:szCs w:val="24"/>
        </w:rPr>
      </w:r>
    </w:p>
    <w:p>
      <w:pPr>
        <w:pStyle w:val="Normal"/>
        <w:spacing w:lineRule="auto" w:line="276"/>
        <w:jc w:val="both"/>
        <w:rPr>
          <w:sz w:val="24"/>
          <w:szCs w:val="24"/>
        </w:rPr>
      </w:pPr>
      <w:r>
        <w:rPr>
          <w:sz w:val="24"/>
          <w:szCs w:val="24"/>
        </w:rPr>
        <w:t>12.5. A divulgação do extrato do contrato ocorrerá por publicação no Diário Eletrônico da União.</w:t>
      </w:r>
    </w:p>
    <w:p>
      <w:pPr>
        <w:pStyle w:val="Normal"/>
        <w:spacing w:lineRule="auto" w:line="276"/>
        <w:jc w:val="both"/>
        <w:rPr>
          <w:sz w:val="24"/>
          <w:szCs w:val="24"/>
        </w:rPr>
      </w:pPr>
      <w:r>
        <w:rPr>
          <w:sz w:val="24"/>
          <w:szCs w:val="24"/>
        </w:rPr>
      </w:r>
    </w:p>
    <w:p>
      <w:pPr>
        <w:pStyle w:val="Normal"/>
        <w:spacing w:lineRule="auto" w:line="276"/>
        <w:jc w:val="both"/>
        <w:rPr>
          <w:sz w:val="24"/>
          <w:szCs w:val="24"/>
        </w:rPr>
      </w:pPr>
      <w:r>
        <w:rPr>
          <w:sz w:val="24"/>
          <w:szCs w:val="24"/>
        </w:rPr>
        <w:t>12.6. Da Alteração do Contrato:</w:t>
      </w:r>
    </w:p>
    <w:p>
      <w:pPr>
        <w:pStyle w:val="Normal"/>
        <w:spacing w:lineRule="auto" w:line="276"/>
        <w:jc w:val="both"/>
        <w:rPr>
          <w:sz w:val="24"/>
          <w:szCs w:val="24"/>
        </w:rPr>
      </w:pPr>
      <w:r>
        <w:rPr>
          <w:sz w:val="24"/>
          <w:szCs w:val="24"/>
        </w:rPr>
        <w:t xml:space="preserve">     </w:t>
      </w:r>
      <w:r>
        <w:rPr>
          <w:sz w:val="24"/>
          <w:szCs w:val="24"/>
        </w:rPr>
        <w:t xml:space="preserve">12.6.1. O Contrato poderá ser alterado observando as exigências deste contrato, nos casos previstos no art. 124 da Lei 14.133/21 e suas alterações, com as devidas justificativas e mediante interesse da Contratante. </w:t>
      </w:r>
    </w:p>
    <w:p>
      <w:pPr>
        <w:pStyle w:val="Normal"/>
        <w:spacing w:lineRule="auto" w:line="276"/>
        <w:jc w:val="both"/>
        <w:rPr>
          <w:sz w:val="24"/>
          <w:szCs w:val="24"/>
        </w:rPr>
      </w:pPr>
      <w:r>
        <w:rPr>
          <w:sz w:val="24"/>
          <w:szCs w:val="24"/>
        </w:rPr>
      </w:r>
    </w:p>
    <w:p>
      <w:pPr>
        <w:pStyle w:val="Normal"/>
        <w:spacing w:lineRule="auto" w:line="276"/>
        <w:jc w:val="both"/>
        <w:rPr>
          <w:sz w:val="24"/>
          <w:szCs w:val="24"/>
        </w:rPr>
      </w:pPr>
      <w:r>
        <w:rPr>
          <w:sz w:val="24"/>
          <w:szCs w:val="24"/>
        </w:rPr>
        <w:t>12.7. Da Rescisão Contratual:</w:t>
      </w:r>
    </w:p>
    <w:p>
      <w:pPr>
        <w:pStyle w:val="Normal"/>
        <w:spacing w:lineRule="auto" w:line="276"/>
        <w:ind w:firstLine="426"/>
        <w:jc w:val="both"/>
        <w:rPr>
          <w:sz w:val="24"/>
          <w:szCs w:val="24"/>
        </w:rPr>
      </w:pPr>
      <w:r>
        <w:rPr>
          <w:sz w:val="24"/>
          <w:szCs w:val="24"/>
        </w:rPr>
        <w:t>12.7.1. A Inexecução total ou parcial do contrato enseja a sua rescisão, conforme disposto nos artigos 155 a 139 da Lei nº 14.133/21.</w:t>
      </w:r>
    </w:p>
    <w:p>
      <w:pPr>
        <w:pStyle w:val="Normal"/>
        <w:spacing w:lineRule="auto" w:line="276"/>
        <w:ind w:firstLine="426"/>
        <w:jc w:val="both"/>
        <w:rPr>
          <w:sz w:val="24"/>
          <w:szCs w:val="24"/>
        </w:rPr>
      </w:pPr>
      <w:r>
        <w:rPr>
          <w:sz w:val="24"/>
          <w:szCs w:val="24"/>
        </w:rPr>
        <w:t>12.7.2. Os casos de rescisão contratual deverão ser formalmente motivados nos autos do processo assegurados o contraditório e ampla defesa;</w:t>
      </w:r>
    </w:p>
    <w:p>
      <w:pPr>
        <w:pStyle w:val="Normal"/>
        <w:spacing w:lineRule="auto" w:line="276"/>
        <w:ind w:firstLine="426"/>
        <w:jc w:val="both"/>
        <w:rPr>
          <w:sz w:val="24"/>
          <w:szCs w:val="24"/>
        </w:rPr>
      </w:pPr>
      <w:r>
        <w:rPr>
          <w:sz w:val="24"/>
          <w:szCs w:val="24"/>
        </w:rPr>
        <w:t>12.7.3. A rescisão do contrato poderá ser:</w:t>
      </w:r>
    </w:p>
    <w:p>
      <w:pPr>
        <w:pStyle w:val="ListParagraph"/>
        <w:numPr>
          <w:ilvl w:val="0"/>
          <w:numId w:val="17"/>
        </w:numPr>
        <w:spacing w:lineRule="auto" w:line="276"/>
        <w:jc w:val="both"/>
        <w:rPr>
          <w:sz w:val="24"/>
          <w:szCs w:val="24"/>
        </w:rPr>
      </w:pPr>
      <w:r>
        <w:rPr>
          <w:sz w:val="24"/>
          <w:szCs w:val="24"/>
        </w:rPr>
        <w:t xml:space="preserve">Determinada por ato unilateral e escrito pela Contratante, nos casos enumerados no Art. 137 da Lei mencionada, assegurando o contraditório e a ampla defesa. </w:t>
      </w:r>
    </w:p>
    <w:p>
      <w:pPr>
        <w:pStyle w:val="ListParagraph"/>
        <w:numPr>
          <w:ilvl w:val="0"/>
          <w:numId w:val="17"/>
        </w:numPr>
        <w:spacing w:lineRule="auto" w:line="276"/>
        <w:jc w:val="both"/>
        <w:rPr>
          <w:sz w:val="24"/>
          <w:szCs w:val="24"/>
        </w:rPr>
      </w:pPr>
      <w:r>
        <w:rPr>
          <w:sz w:val="24"/>
          <w:szCs w:val="24"/>
        </w:rPr>
        <w:t xml:space="preserve">Amigável, por acordo entre as partes, desde que haja conveniência para a Contratante; </w:t>
      </w:r>
    </w:p>
    <w:p>
      <w:pPr>
        <w:pStyle w:val="ListParagraph"/>
        <w:numPr>
          <w:ilvl w:val="0"/>
          <w:numId w:val="17"/>
        </w:numPr>
        <w:spacing w:lineRule="auto" w:line="276"/>
        <w:jc w:val="both"/>
        <w:rPr>
          <w:sz w:val="24"/>
          <w:szCs w:val="24"/>
        </w:rPr>
      </w:pPr>
      <w:r>
        <w:rPr>
          <w:sz w:val="24"/>
          <w:szCs w:val="24"/>
        </w:rPr>
        <w:t>Judicial, nos termos da legislação vigente sobre a matéria.</w:t>
      </w:r>
    </w:p>
    <w:p>
      <w:pPr>
        <w:pStyle w:val="Normal"/>
        <w:spacing w:lineRule="auto" w:line="276"/>
        <w:ind w:firstLine="426"/>
        <w:jc w:val="both"/>
        <w:rPr>
          <w:sz w:val="24"/>
          <w:szCs w:val="24"/>
        </w:rPr>
      </w:pPr>
      <w:bookmarkStart w:id="17" w:name="_Hlk156466433"/>
      <w:r>
        <w:rPr>
          <w:sz w:val="24"/>
          <w:szCs w:val="24"/>
        </w:rPr>
        <w:t>12.7.4. A rescisão administrativa ou amigável deverá ser precedida de autorização escrita e fundamentada da autoridade competente.</w:t>
      </w:r>
      <w:bookmarkEnd w:id="17"/>
      <w:r>
        <w:rPr>
          <w:sz w:val="24"/>
          <w:szCs w:val="24"/>
        </w:rPr>
        <w:t xml:space="preserve"> </w:t>
      </w:r>
    </w:p>
    <w:p>
      <w:pPr>
        <w:pStyle w:val="Normal"/>
        <w:spacing w:lineRule="auto" w:line="276"/>
        <w:jc w:val="both"/>
        <w:rPr>
          <w:sz w:val="24"/>
          <w:szCs w:val="24"/>
        </w:rPr>
      </w:pPr>
      <w:r>
        <w:rPr>
          <w:sz w:val="24"/>
          <w:szCs w:val="24"/>
        </w:rPr>
      </w:r>
    </w:p>
    <w:p>
      <w:pPr>
        <w:pStyle w:val="Normal"/>
        <w:pBdr>
          <w:top w:val="single" w:sz="4" w:space="1" w:color="000000"/>
          <w:left w:val="single" w:sz="4" w:space="4" w:color="000000"/>
          <w:bottom w:val="single" w:sz="4" w:space="1" w:color="000000"/>
          <w:right w:val="single" w:sz="4" w:space="4" w:color="000000"/>
        </w:pBdr>
        <w:shd w:val="clear" w:color="auto" w:fill="A6A6A6" w:themeFill="background1" w:themeFillShade="a6"/>
        <w:spacing w:lineRule="auto" w:line="276"/>
        <w:jc w:val="both"/>
        <w:rPr>
          <w:bCs/>
          <w:sz w:val="24"/>
          <w:szCs w:val="24"/>
        </w:rPr>
      </w:pPr>
      <w:r>
        <w:rPr>
          <w:b/>
          <w:bCs/>
          <w:sz w:val="24"/>
          <w:szCs w:val="24"/>
        </w:rPr>
        <w:t>13. DO VALOR ESTIMADO E DO CRITÉRIO DE REAJUSTE:</w:t>
      </w:r>
    </w:p>
    <w:p>
      <w:pPr>
        <w:pStyle w:val="Normal"/>
        <w:spacing w:lineRule="auto" w:line="276"/>
        <w:jc w:val="both"/>
        <w:rPr>
          <w:sz w:val="24"/>
          <w:szCs w:val="24"/>
        </w:rPr>
      </w:pPr>
      <w:bookmarkStart w:id="18" w:name="_Hlk156466455"/>
      <w:r>
        <w:rPr>
          <w:sz w:val="24"/>
          <w:szCs w:val="24"/>
        </w:rPr>
        <w:t xml:space="preserve">13.1. Do Critério de Reajuste: </w:t>
      </w:r>
    </w:p>
    <w:p>
      <w:pPr>
        <w:pStyle w:val="Normal"/>
        <w:spacing w:lineRule="auto" w:line="276"/>
        <w:jc w:val="both"/>
        <w:rPr>
          <w:sz w:val="24"/>
          <w:szCs w:val="24"/>
        </w:rPr>
      </w:pPr>
      <w:r>
        <w:rPr>
          <w:sz w:val="24"/>
          <w:szCs w:val="24"/>
        </w:rPr>
        <w:t xml:space="preserve">       </w:t>
      </w:r>
      <w:r>
        <w:rPr>
          <w:sz w:val="24"/>
          <w:szCs w:val="24"/>
        </w:rPr>
        <w:t xml:space="preserve">13.1.1 Somente haverá reajuste do valor contratual depois de decorridos 12 (doze) meses, contados da assinatura do contrato, com base na taxa obtida da média aritmética do Índice Geral de Preços do Mercado (IGPM-FGV) apurado e fornecido pela Fundação Getúlio Varga ou outro índice que venha substituí-lo, acumulado nos 12 (doze) meses anteriores ao último mês de vigência do contrato. </w:t>
      </w:r>
    </w:p>
    <w:p>
      <w:pPr>
        <w:pStyle w:val="Normal"/>
        <w:spacing w:lineRule="auto" w:line="276"/>
        <w:ind w:firstLine="426"/>
        <w:jc w:val="both"/>
        <w:rPr>
          <w:sz w:val="24"/>
          <w:szCs w:val="24"/>
        </w:rPr>
      </w:pPr>
      <w:r>
        <w:rPr>
          <w:sz w:val="24"/>
          <w:szCs w:val="24"/>
        </w:rPr>
        <w:t xml:space="preserve">13.1.2 Para que seja efetuado o reajuste supra, a CONTRATADA deverá em até 30 (trinta) dias antes do vencimento anual, solicitar o reajuste perante o Conselho Regional de Odontologia, sob pena de PRECLUSÃO, visto que não se constitui em direito de aplicação automática. </w:t>
      </w:r>
    </w:p>
    <w:p>
      <w:pPr>
        <w:pStyle w:val="Normal"/>
        <w:spacing w:lineRule="auto" w:line="276"/>
        <w:ind w:firstLine="426"/>
        <w:jc w:val="both"/>
        <w:rPr>
          <w:sz w:val="24"/>
          <w:szCs w:val="24"/>
        </w:rPr>
      </w:pPr>
      <w:r>
        <w:rPr>
          <w:sz w:val="24"/>
          <w:szCs w:val="24"/>
        </w:rPr>
        <w:t xml:space="preserve">13.1.3 Caso tenha sido consumada a PRECLUSÃO, novo pedido de reajuste, somente, poderá ser apresentado pela CONTRATADA, em relação ao período subsequente de 12 (doze) meses e desde que respeitadas as formalidades acima elencadas. </w:t>
      </w:r>
    </w:p>
    <w:p>
      <w:pPr>
        <w:pStyle w:val="Normal"/>
        <w:spacing w:lineRule="auto" w:line="276"/>
        <w:ind w:firstLine="426"/>
        <w:jc w:val="both"/>
        <w:rPr>
          <w:sz w:val="24"/>
          <w:szCs w:val="24"/>
        </w:rPr>
      </w:pPr>
      <w:r>
        <w:rPr>
          <w:sz w:val="24"/>
          <w:szCs w:val="24"/>
        </w:rPr>
        <w:t xml:space="preserve">13.1.4 Na hipótese do pedido de reajuste atender as formalidades ora mencionadas, poderá ser formalizado por meio de apostilamento, nos termos do que dispões o Art. 6, </w:t>
      </w:r>
      <w:r>
        <w:rPr>
          <w:rFonts w:eastAsia="Calibri" w:eastAsiaTheme="minorHAnsi"/>
          <w:color w:val="222222"/>
          <w:sz w:val="24"/>
          <w:szCs w:val="24"/>
          <w:lang w:eastAsia="en-US"/>
        </w:rPr>
        <w:t>da Lei nº 14.133/21</w:t>
      </w:r>
      <w:bookmarkEnd w:id="18"/>
      <w:r>
        <w:rPr>
          <w:rFonts w:eastAsia="Calibri" w:eastAsiaTheme="minorHAnsi"/>
          <w:color w:val="222222"/>
          <w:sz w:val="24"/>
          <w:szCs w:val="24"/>
          <w:lang w:eastAsia="en-US"/>
        </w:rPr>
        <w:t>.</w:t>
      </w:r>
    </w:p>
    <w:p>
      <w:pPr>
        <w:pStyle w:val="Normal"/>
        <w:pBdr>
          <w:top w:val="single" w:sz="4" w:space="1" w:color="000000"/>
          <w:left w:val="single" w:sz="4" w:space="4" w:color="000000"/>
          <w:bottom w:val="single" w:sz="4" w:space="1" w:color="000000"/>
          <w:right w:val="single" w:sz="4" w:space="4" w:color="000000"/>
        </w:pBdr>
        <w:shd w:val="clear" w:color="auto" w:fill="A6A6A6" w:themeFill="background1" w:themeFillShade="a6"/>
        <w:spacing w:lineRule="auto" w:line="276"/>
        <w:jc w:val="both"/>
        <w:rPr>
          <w:bCs/>
          <w:sz w:val="24"/>
          <w:szCs w:val="24"/>
        </w:rPr>
      </w:pPr>
      <w:r>
        <w:rPr>
          <w:b/>
          <w:bCs/>
          <w:sz w:val="24"/>
          <w:szCs w:val="24"/>
        </w:rPr>
        <w:t>14. DAS CONSIDERAÇÕES FINAIS:</w:t>
      </w:r>
    </w:p>
    <w:p>
      <w:pPr>
        <w:pStyle w:val="Normal"/>
        <w:spacing w:lineRule="auto" w:line="276"/>
        <w:jc w:val="both"/>
        <w:rPr>
          <w:sz w:val="24"/>
          <w:szCs w:val="24"/>
        </w:rPr>
      </w:pPr>
      <w:r>
        <w:rPr>
          <w:sz w:val="24"/>
          <w:szCs w:val="24"/>
        </w:rPr>
      </w:r>
    </w:p>
    <w:p>
      <w:pPr>
        <w:pStyle w:val="Normal"/>
        <w:spacing w:lineRule="auto" w:line="276"/>
        <w:jc w:val="right"/>
        <w:rPr>
          <w:sz w:val="24"/>
          <w:szCs w:val="24"/>
        </w:rPr>
      </w:pPr>
      <w:r>
        <w:rPr>
          <w:sz w:val="24"/>
          <w:szCs w:val="24"/>
        </w:rPr>
        <w:t>Cuiabá/MT, 18 de janeiro de 2024.</w:t>
      </w:r>
    </w:p>
    <w:p>
      <w:pPr>
        <w:pStyle w:val="Normal"/>
        <w:spacing w:lineRule="auto" w:line="276"/>
        <w:jc w:val="right"/>
        <w:rPr>
          <w:sz w:val="24"/>
          <w:szCs w:val="24"/>
        </w:rPr>
      </w:pPr>
      <w:r>
        <w:rPr>
          <w:sz w:val="24"/>
          <w:szCs w:val="24"/>
        </w:rPr>
      </w:r>
    </w:p>
    <w:p>
      <w:pPr>
        <w:pStyle w:val="Normal"/>
        <w:shd w:val="clear" w:color="auto" w:fill="FFFFFF"/>
        <w:jc w:val="center"/>
        <w:textAlignment w:val="baseline"/>
        <w:rPr/>
      </w:pPr>
      <w:r>
        <w:rPr/>
      </w:r>
    </w:p>
    <w:p>
      <w:pPr>
        <w:pStyle w:val="Normal"/>
        <w:shd w:val="clear" w:color="auto" w:fill="FFFFFF"/>
        <w:jc w:val="center"/>
        <w:textAlignment w:val="baseline"/>
        <w:rPr/>
      </w:pPr>
      <w:r>
        <w:rPr/>
      </w:r>
    </w:p>
    <w:p>
      <w:pPr>
        <w:pStyle w:val="Normal"/>
        <w:shd w:val="clear" w:color="auto" w:fill="FFFFFF"/>
        <w:jc w:val="center"/>
        <w:textAlignment w:val="baseline"/>
        <w:rPr>
          <w:sz w:val="24"/>
          <w:szCs w:val="24"/>
        </w:rPr>
      </w:pPr>
      <w:r>
        <w:rPr>
          <w:sz w:val="24"/>
          <w:szCs w:val="24"/>
        </w:rPr>
      </w:r>
    </w:p>
    <w:p>
      <w:pPr>
        <w:pStyle w:val="NoSpacing"/>
        <w:jc w:val="center"/>
        <w:rPr>
          <w:rFonts w:ascii="Times New Roman" w:hAnsi="Times New Roman" w:eastAsia="Calibri" w:cs="Times New Roman"/>
          <w:b/>
          <w:sz w:val="24"/>
          <w:szCs w:val="24"/>
        </w:rPr>
      </w:pPr>
      <w:bookmarkStart w:id="19" w:name="_Hlk156466485"/>
      <w:r>
        <w:rPr>
          <w:rFonts w:eastAsia="Calibri" w:cs="Times New Roman" w:ascii="Times New Roman" w:hAnsi="Times New Roman"/>
          <w:b/>
          <w:sz w:val="24"/>
          <w:szCs w:val="24"/>
        </w:rPr>
        <w:t>Mayara Barbosa Lima</w:t>
      </w:r>
      <w:bookmarkEnd w:id="19"/>
    </w:p>
    <w:p>
      <w:pPr>
        <w:pStyle w:val="Normal"/>
        <w:tabs>
          <w:tab w:val="clear" w:pos="708"/>
          <w:tab w:val="center" w:pos="4252" w:leader="none"/>
          <w:tab w:val="right" w:pos="8504" w:leader="none"/>
        </w:tabs>
        <w:spacing w:lineRule="auto" w:line="276"/>
        <w:ind w:left="34"/>
        <w:jc w:val="center"/>
        <w:rPr>
          <w:b/>
          <w:bCs/>
          <w:color w:val="000000"/>
          <w:sz w:val="24"/>
          <w:szCs w:val="24"/>
        </w:rPr>
      </w:pPr>
      <w:r>
        <w:rPr>
          <w:b/>
          <w:sz w:val="24"/>
          <w:szCs w:val="24"/>
        </w:rPr>
        <w:t xml:space="preserve">Analista </w:t>
      </w:r>
      <w:r>
        <w:rPr>
          <w:b/>
          <w:bCs/>
          <w:color w:val="000000"/>
          <w:sz w:val="24"/>
          <w:szCs w:val="24"/>
        </w:rPr>
        <w:t>Administrativa - Compras e Licitação</w:t>
      </w:r>
    </w:p>
    <w:p>
      <w:pPr>
        <w:pStyle w:val="Normal"/>
        <w:spacing w:lineRule="auto" w:line="259" w:before="0" w:after="160"/>
        <w:jc w:val="center"/>
        <w:rPr>
          <w:b/>
          <w:sz w:val="24"/>
          <w:szCs w:val="24"/>
        </w:rPr>
      </w:pPr>
      <w:r>
        <w:rPr>
          <w:b/>
          <w:sz w:val="24"/>
          <w:szCs w:val="24"/>
        </w:rPr>
      </w:r>
    </w:p>
    <w:p>
      <w:pPr>
        <w:pStyle w:val="Normal"/>
        <w:spacing w:lineRule="auto" w:line="259" w:before="0" w:after="160"/>
        <w:jc w:val="center"/>
        <w:rPr>
          <w:b/>
          <w:sz w:val="24"/>
          <w:szCs w:val="24"/>
        </w:rPr>
      </w:pPr>
      <w:r>
        <w:rPr>
          <w:b/>
          <w:sz w:val="24"/>
          <w:szCs w:val="24"/>
        </w:rPr>
      </w:r>
    </w:p>
    <w:p>
      <w:pPr>
        <w:pStyle w:val="Normal"/>
        <w:spacing w:lineRule="auto" w:line="259" w:before="0" w:after="160"/>
        <w:jc w:val="center"/>
        <w:rPr>
          <w:b/>
          <w:sz w:val="24"/>
          <w:szCs w:val="24"/>
        </w:rPr>
      </w:pPr>
      <w:r>
        <w:rPr>
          <w:b/>
          <w:sz w:val="24"/>
          <w:szCs w:val="24"/>
        </w:rPr>
      </w:r>
    </w:p>
    <w:p>
      <w:pPr>
        <w:pStyle w:val="Normal"/>
        <w:spacing w:lineRule="auto" w:line="259" w:before="0" w:after="160"/>
        <w:jc w:val="center"/>
        <w:rPr>
          <w:b/>
          <w:sz w:val="24"/>
          <w:szCs w:val="24"/>
        </w:rPr>
      </w:pPr>
      <w:r>
        <w:rPr>
          <w:b/>
          <w:sz w:val="24"/>
          <w:szCs w:val="24"/>
        </w:rPr>
      </w:r>
    </w:p>
    <w:p>
      <w:pPr>
        <w:pStyle w:val="Normal"/>
        <w:spacing w:lineRule="auto" w:line="259" w:before="0" w:after="160"/>
        <w:jc w:val="center"/>
        <w:rPr>
          <w:b/>
          <w:sz w:val="32"/>
          <w:szCs w:val="32"/>
        </w:rPr>
      </w:pPr>
      <w:r>
        <w:rPr>
          <w:b/>
          <w:sz w:val="24"/>
          <w:szCs w:val="24"/>
        </w:rPr>
        <w:t>APRECIAÇÃO DA AUTORIDADE COMPETENTE</w:t>
      </w:r>
    </w:p>
    <w:p>
      <w:pPr>
        <w:pStyle w:val="Default"/>
        <w:spacing w:lineRule="auto" w:line="276"/>
        <w:jc w:val="both"/>
        <w:rPr>
          <w:color w:val="auto"/>
        </w:rPr>
      </w:pPr>
      <w:r>
        <w:rPr>
          <w:color w:val="auto"/>
        </w:rPr>
      </w:r>
    </w:p>
    <w:p>
      <w:pPr>
        <w:pStyle w:val="Normal"/>
        <w:spacing w:lineRule="auto" w:line="276"/>
        <w:jc w:val="both"/>
        <w:rPr>
          <w:sz w:val="24"/>
          <w:szCs w:val="24"/>
        </w:rPr>
      </w:pPr>
      <w:r>
        <w:rPr>
          <w:sz w:val="24"/>
          <w:szCs w:val="24"/>
          <w:shd w:fill="FFFFFF" w:val="clear"/>
        </w:rPr>
        <w:t>Considerando as necessidades deste Conselho Regional de Odontologia do Mato Grosso, as informações elencadas, os elementos técnicos e o valor do orçamento estimativo, contidos nestes autos; e ainda com observância às normas legais vigentes, bem como a conveniência e a oportunidade diante do caso concreto apresentado pelo solicitante, aprovo este Termo de Referência.</w:t>
      </w:r>
    </w:p>
    <w:p>
      <w:pPr>
        <w:pStyle w:val="Normal"/>
        <w:spacing w:lineRule="auto" w:line="276"/>
        <w:jc w:val="both"/>
        <w:rPr>
          <w:sz w:val="24"/>
          <w:szCs w:val="24"/>
        </w:rPr>
      </w:pPr>
      <w:r>
        <w:rPr>
          <w:sz w:val="24"/>
          <w:szCs w:val="24"/>
        </w:rPr>
      </w:r>
    </w:p>
    <w:p>
      <w:pPr>
        <w:pStyle w:val="Normal"/>
        <w:spacing w:lineRule="auto" w:line="276"/>
        <w:jc w:val="right"/>
        <w:rPr>
          <w:sz w:val="24"/>
          <w:szCs w:val="24"/>
        </w:rPr>
      </w:pPr>
      <w:r>
        <w:rPr>
          <w:sz w:val="24"/>
          <w:szCs w:val="24"/>
        </w:rPr>
        <w:t>Cuiabá/MT, 18 de janeiro de 2024.</w:t>
      </w:r>
    </w:p>
    <w:p>
      <w:pPr>
        <w:pStyle w:val="Normal"/>
        <w:spacing w:lineRule="auto" w:line="276"/>
        <w:jc w:val="both"/>
        <w:rPr>
          <w:b/>
          <w:sz w:val="24"/>
          <w:szCs w:val="24"/>
        </w:rPr>
      </w:pPr>
      <w:r>
        <w:rPr>
          <w:b/>
          <w:sz w:val="24"/>
          <w:szCs w:val="24"/>
        </w:rPr>
      </w:r>
    </w:p>
    <w:p>
      <w:pPr>
        <w:pStyle w:val="Normal"/>
        <w:spacing w:lineRule="auto" w:line="276"/>
        <w:rPr>
          <w:b/>
          <w:sz w:val="24"/>
          <w:szCs w:val="24"/>
        </w:rPr>
      </w:pPr>
      <w:r>
        <w:rPr>
          <w:b/>
          <w:sz w:val="24"/>
          <w:szCs w:val="24"/>
        </w:rPr>
      </w:r>
    </w:p>
    <w:p>
      <w:pPr>
        <w:pStyle w:val="Normal"/>
        <w:jc w:val="center"/>
        <w:rPr>
          <w:b/>
          <w:sz w:val="24"/>
          <w:szCs w:val="24"/>
        </w:rPr>
      </w:pPr>
      <w:r>
        <w:rPr>
          <w:b/>
          <w:sz w:val="24"/>
          <w:szCs w:val="24"/>
        </w:rPr>
        <w:t>Wania Christina Figueiredo Dantas, CD</w:t>
        <w:br/>
        <w:t>Presidente do CRO-MT</w:t>
      </w:r>
    </w:p>
    <w:p>
      <w:pPr>
        <w:pStyle w:val="Normal"/>
        <w:jc w:val="center"/>
        <w:rPr>
          <w:b/>
          <w:sz w:val="24"/>
          <w:szCs w:val="24"/>
        </w:rPr>
      </w:pPr>
      <w:r>
        <w:rPr>
          <w:b/>
          <w:sz w:val="24"/>
          <w:szCs w:val="24"/>
        </w:rPr>
      </w:r>
    </w:p>
    <w:p>
      <w:pPr>
        <w:pStyle w:val="Normal"/>
        <w:jc w:val="center"/>
        <w:rPr>
          <w:b/>
          <w:sz w:val="24"/>
          <w:szCs w:val="24"/>
        </w:rPr>
      </w:pPr>
      <w:r>
        <w:rPr>
          <w:b/>
          <w:sz w:val="24"/>
          <w:szCs w:val="24"/>
        </w:rPr>
      </w:r>
    </w:p>
    <w:p>
      <w:pPr>
        <w:pStyle w:val="Normal"/>
        <w:jc w:val="center"/>
        <w:rPr>
          <w:b/>
          <w:sz w:val="24"/>
          <w:szCs w:val="24"/>
        </w:rPr>
      </w:pPr>
      <w:r>
        <w:rPr>
          <w:b/>
          <w:sz w:val="24"/>
          <w:szCs w:val="24"/>
        </w:rPr>
      </w:r>
    </w:p>
    <w:p>
      <w:pPr>
        <w:pStyle w:val="Normal"/>
        <w:rPr>
          <w:b/>
          <w:sz w:val="24"/>
          <w:szCs w:val="24"/>
        </w:rPr>
      </w:pPr>
      <w:r>
        <w:rPr>
          <w:b/>
          <w:sz w:val="24"/>
          <w:szCs w:val="24"/>
        </w:rPr>
        <w:tab/>
        <w:tab/>
      </w:r>
      <w:r>
        <w:br w:type="page"/>
      </w:r>
    </w:p>
    <w:p>
      <w:pPr>
        <w:pStyle w:val="Normal"/>
        <w:tabs>
          <w:tab w:val="clear" w:pos="708"/>
          <w:tab w:val="left" w:pos="5812" w:leader="none"/>
        </w:tabs>
        <w:spacing w:before="0" w:after="0"/>
        <w:jc w:val="center"/>
        <w:rPr>
          <w:b/>
          <w:sz w:val="24"/>
          <w:szCs w:val="24"/>
        </w:rPr>
      </w:pPr>
      <w:r>
        <w:rPr>
          <w:b/>
          <w:sz w:val="24"/>
          <w:szCs w:val="24"/>
        </w:rPr>
      </w:r>
    </w:p>
    <w:p>
      <w:pPr>
        <w:pStyle w:val="Normal"/>
        <w:widowControl w:val="false"/>
        <w:spacing w:lineRule="auto" w:line="276"/>
        <w:jc w:val="center"/>
        <w:rPr/>
      </w:pPr>
      <w:r>
        <w:rPr>
          <w:b/>
          <w:sz w:val="24"/>
          <w:szCs w:val="24"/>
        </w:rPr>
        <w:t>ANEXO II - MODELO DE PROPOSTA DE PREÇO</w:t>
      </w:r>
    </w:p>
    <w:p>
      <w:pPr>
        <w:pStyle w:val="Default"/>
        <w:spacing w:lineRule="auto" w:line="276"/>
        <w:jc w:val="center"/>
        <w:rPr>
          <w:b/>
          <w:bCs/>
          <w:color w:val="auto"/>
        </w:rPr>
      </w:pPr>
      <w:r>
        <w:rPr>
          <w:b/>
          <w:bCs/>
          <w:color w:val="auto"/>
        </w:rPr>
      </w:r>
    </w:p>
    <w:p>
      <w:pPr>
        <w:pStyle w:val="Normal"/>
        <w:widowControl w:val="false"/>
        <w:spacing w:lineRule="auto" w:line="276"/>
        <w:ind w:right="-1"/>
        <w:jc w:val="center"/>
        <w:rPr>
          <w:b/>
          <w:sz w:val="24"/>
          <w:szCs w:val="24"/>
        </w:rPr>
      </w:pPr>
      <w:r>
        <w:rPr>
          <w:b/>
          <w:sz w:val="24"/>
          <w:szCs w:val="24"/>
        </w:rPr>
        <w:t xml:space="preserve"> </w:t>
      </w:r>
      <w:r>
        <w:rPr>
          <w:b/>
          <w:sz w:val="24"/>
          <w:szCs w:val="24"/>
        </w:rPr>
        <w:t>(Papel timbrado da empresa)</w:t>
      </w:r>
    </w:p>
    <w:p>
      <w:pPr>
        <w:pStyle w:val="Default"/>
        <w:spacing w:lineRule="auto" w:line="276"/>
        <w:jc w:val="both"/>
        <w:rPr>
          <w:b/>
          <w:bCs/>
          <w:color w:val="auto"/>
        </w:rPr>
      </w:pPr>
      <w:r>
        <w:rPr>
          <w:b/>
          <w:bCs/>
          <w:color w:val="auto"/>
        </w:rPr>
      </w:r>
    </w:p>
    <w:p>
      <w:pPr>
        <w:pStyle w:val="Default"/>
        <w:spacing w:lineRule="auto" w:line="276"/>
        <w:jc w:val="both"/>
        <w:rPr>
          <w:color w:val="auto"/>
        </w:rPr>
      </w:pPr>
      <w:r>
        <w:rPr>
          <w:b/>
          <w:bCs/>
          <w:color w:val="auto"/>
        </w:rPr>
        <w:t xml:space="preserve">Tipo: </w:t>
      </w:r>
      <w:r>
        <w:rPr>
          <w:color w:val="auto"/>
        </w:rPr>
        <w:t xml:space="preserve">MENOR PREÇO </w:t>
      </w:r>
    </w:p>
    <w:p>
      <w:pPr>
        <w:pStyle w:val="Default"/>
        <w:spacing w:lineRule="auto" w:line="276"/>
        <w:jc w:val="both"/>
        <w:rPr>
          <w:color w:val="auto"/>
        </w:rPr>
      </w:pPr>
      <w:r>
        <w:rPr>
          <w:color w:val="auto"/>
        </w:rPr>
        <w:t>Nome de Fantasia: ..............................................................................................................................</w:t>
      </w:r>
    </w:p>
    <w:p>
      <w:pPr>
        <w:pStyle w:val="Default"/>
        <w:spacing w:lineRule="auto" w:line="276"/>
        <w:jc w:val="both"/>
        <w:rPr>
          <w:color w:val="auto"/>
        </w:rPr>
      </w:pPr>
      <w:r>
        <w:rPr>
          <w:color w:val="auto"/>
        </w:rPr>
        <w:t>Razão Social: ......................................................................................................................................</w:t>
      </w:r>
    </w:p>
    <w:p>
      <w:pPr>
        <w:pStyle w:val="Default"/>
        <w:spacing w:lineRule="auto" w:line="276"/>
        <w:jc w:val="both"/>
        <w:rPr>
          <w:color w:val="auto"/>
        </w:rPr>
      </w:pPr>
      <w:r>
        <w:rPr>
          <w:color w:val="auto"/>
        </w:rPr>
        <w:t xml:space="preserve">CNPJ: ...................................................................... OPTANTE PELO SIMPLES? SIM ( ) NÃO ( ) </w:t>
      </w:r>
    </w:p>
    <w:p>
      <w:pPr>
        <w:pStyle w:val="Default"/>
        <w:spacing w:lineRule="auto" w:line="276"/>
        <w:jc w:val="both"/>
        <w:rPr>
          <w:color w:val="auto"/>
        </w:rPr>
      </w:pPr>
      <w:r>
        <w:rPr>
          <w:color w:val="auto"/>
        </w:rPr>
        <w:t>Endereço: ............................................................................................................................................</w:t>
      </w:r>
    </w:p>
    <w:p>
      <w:pPr>
        <w:pStyle w:val="Default"/>
        <w:spacing w:lineRule="auto" w:line="276"/>
        <w:jc w:val="both"/>
        <w:rPr>
          <w:color w:val="auto"/>
        </w:rPr>
      </w:pPr>
      <w:r>
        <w:rPr>
          <w:color w:val="auto"/>
        </w:rPr>
        <w:t xml:space="preserve">Bairro: ............................................................ Município: ................................................................... </w:t>
      </w:r>
    </w:p>
    <w:p>
      <w:pPr>
        <w:pStyle w:val="Default"/>
        <w:spacing w:lineRule="auto" w:line="276"/>
        <w:jc w:val="both"/>
        <w:rPr>
          <w:color w:val="auto"/>
        </w:rPr>
      </w:pPr>
      <w:r>
        <w:rPr>
          <w:color w:val="auto"/>
        </w:rPr>
        <w:t xml:space="preserve">Estado: ........................................................... CEP: .......................................................................... </w:t>
      </w:r>
    </w:p>
    <w:p>
      <w:pPr>
        <w:pStyle w:val="Default"/>
        <w:spacing w:lineRule="auto" w:line="276"/>
        <w:jc w:val="both"/>
        <w:rPr>
          <w:color w:val="auto"/>
        </w:rPr>
      </w:pPr>
      <w:r>
        <w:rPr>
          <w:color w:val="auto"/>
        </w:rPr>
        <w:t xml:space="preserve">Fone/Fax: (     ) .............................................. E-MAIL: ...................................................................... </w:t>
      </w:r>
    </w:p>
    <w:p>
      <w:pPr>
        <w:pStyle w:val="Default"/>
        <w:spacing w:lineRule="auto" w:line="276"/>
        <w:jc w:val="both"/>
        <w:rPr>
          <w:color w:val="auto"/>
        </w:rPr>
      </w:pPr>
      <w:r>
        <w:rPr>
          <w:color w:val="auto"/>
        </w:rPr>
        <w:t xml:space="preserve">Conta Corrente nº.................................. Agência nº. ........................... Banco ................................. </w:t>
      </w:r>
    </w:p>
    <w:p>
      <w:pPr>
        <w:pStyle w:val="Default"/>
        <w:spacing w:lineRule="auto" w:line="276"/>
        <w:jc w:val="both"/>
        <w:rPr>
          <w:color w:val="auto"/>
        </w:rPr>
      </w:pPr>
      <w:r>
        <w:rPr>
          <w:color w:val="auto"/>
        </w:rPr>
        <w:t xml:space="preserve">Nome completo do responsável legal da empresa: ........................................................................... </w:t>
      </w:r>
    </w:p>
    <w:p>
      <w:pPr>
        <w:pStyle w:val="Default"/>
        <w:spacing w:lineRule="auto" w:line="276"/>
        <w:jc w:val="both"/>
        <w:rPr>
          <w:color w:val="auto"/>
        </w:rPr>
      </w:pPr>
      <w:r>
        <w:rPr>
          <w:color w:val="auto"/>
        </w:rPr>
        <w:t xml:space="preserve">CPF: ........................................ RG: .................................. CEL/TELEFONE: .................................. </w:t>
      </w:r>
    </w:p>
    <w:p>
      <w:pPr>
        <w:pStyle w:val="Default"/>
        <w:spacing w:lineRule="auto" w:line="276"/>
        <w:jc w:val="both"/>
        <w:rPr>
          <w:color w:val="auto"/>
        </w:rPr>
      </w:pPr>
      <w:r>
        <w:rPr>
          <w:color w:val="auto"/>
        </w:rPr>
      </w:r>
    </w:p>
    <w:p>
      <w:pPr>
        <w:pStyle w:val="List"/>
        <w:widowControl w:val="false"/>
        <w:spacing w:lineRule="auto" w:line="276"/>
        <w:ind w:hanging="0" w:left="0"/>
        <w:jc w:val="both"/>
        <w:rPr>
          <w:b/>
          <w:bCs/>
          <w:szCs w:val="24"/>
        </w:rPr>
      </w:pPr>
      <w:r>
        <w:rPr>
          <w:b/>
          <w:bCs/>
          <w:szCs w:val="24"/>
        </w:rPr>
        <w:t xml:space="preserve">IDENTIFICAÇÃO DOS ITENS DOS QUAIS FOI VENCEDOR: </w:t>
      </w:r>
    </w:p>
    <w:p>
      <w:pPr>
        <w:pStyle w:val="List"/>
        <w:widowControl w:val="false"/>
        <w:spacing w:lineRule="auto" w:line="276"/>
        <w:ind w:hanging="0" w:left="0"/>
        <w:jc w:val="both"/>
        <w:rPr>
          <w:b/>
          <w:bCs/>
          <w:szCs w:val="24"/>
        </w:rPr>
      </w:pPr>
      <w:r>
        <w:rPr>
          <w:b/>
          <w:bCs/>
          <w:szCs w:val="24"/>
        </w:rPr>
      </w:r>
    </w:p>
    <w:tbl>
      <w:tblPr>
        <w:tblW w:w="10196"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697"/>
        <w:gridCol w:w="4365"/>
        <w:gridCol w:w="1219"/>
        <w:gridCol w:w="2045"/>
        <w:gridCol w:w="1870"/>
      </w:tblGrid>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b/>
                <w:sz w:val="24"/>
                <w:szCs w:val="24"/>
              </w:rPr>
            </w:pPr>
            <w:r>
              <w:rPr>
                <w:b/>
                <w:sz w:val="24"/>
                <w:szCs w:val="24"/>
              </w:rPr>
              <w:t>Item</w:t>
            </w:r>
          </w:p>
        </w:tc>
        <w:tc>
          <w:tcPr>
            <w:tcW w:w="436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b/>
                <w:sz w:val="24"/>
                <w:szCs w:val="24"/>
              </w:rPr>
            </w:pPr>
            <w:r>
              <w:rPr>
                <w:b/>
                <w:sz w:val="24"/>
                <w:szCs w:val="24"/>
              </w:rPr>
              <w:t>Serviço</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b/>
                <w:sz w:val="24"/>
                <w:szCs w:val="24"/>
              </w:rPr>
            </w:pPr>
            <w:r>
              <w:rPr>
                <w:b/>
                <w:sz w:val="24"/>
                <w:szCs w:val="24"/>
              </w:rPr>
              <w:t>Unidade</w:t>
            </w:r>
          </w:p>
        </w:tc>
        <w:tc>
          <w:tcPr>
            <w:tcW w:w="20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b/>
                <w:sz w:val="24"/>
                <w:szCs w:val="24"/>
              </w:rPr>
            </w:pPr>
            <w:r>
              <w:rPr>
                <w:b/>
                <w:sz w:val="24"/>
                <w:szCs w:val="24"/>
              </w:rPr>
              <w:t>Valor Est.</w:t>
            </w:r>
          </w:p>
        </w:tc>
        <w:tc>
          <w:tcPr>
            <w:tcW w:w="187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b/>
                <w:sz w:val="24"/>
                <w:szCs w:val="24"/>
              </w:rPr>
            </w:pPr>
            <w:r>
              <w:rPr>
                <w:b/>
                <w:sz w:val="24"/>
                <w:szCs w:val="24"/>
              </w:rPr>
              <w:t>Taxa de Desconto</w:t>
            </w:r>
          </w:p>
        </w:tc>
      </w:tr>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01</w:t>
            </w:r>
          </w:p>
        </w:tc>
        <w:tc>
          <w:tcPr>
            <w:tcW w:w="4365" w:type="dxa"/>
            <w:tcBorders>
              <w:top w:val="single" w:sz="4" w:space="0" w:color="000000"/>
              <w:left w:val="single" w:sz="4" w:space="0" w:color="000000"/>
              <w:bottom w:val="single" w:sz="4" w:space="0" w:color="000000"/>
              <w:right w:val="single" w:sz="4" w:space="0" w:color="000000"/>
            </w:tcBorders>
          </w:tcPr>
          <w:p>
            <w:pPr>
              <w:pStyle w:val="Normal"/>
              <w:spacing w:before="0" w:after="46"/>
              <w:jc w:val="both"/>
              <w:rPr>
                <w:sz w:val="22"/>
              </w:rPr>
            </w:pPr>
            <w:r>
              <w:rPr>
                <w:color w:val="000000"/>
                <w:sz w:val="24"/>
                <w:szCs w:val="24"/>
              </w:rPr>
              <w:t xml:space="preserve">Os serviços de emissão de </w:t>
            </w:r>
            <w:r>
              <w:rPr>
                <w:color w:val="000000"/>
                <w:sz w:val="24"/>
              </w:rPr>
              <w:t>passagens aérea devem incluir:</w:t>
            </w:r>
          </w:p>
          <w:p>
            <w:pPr>
              <w:pStyle w:val="Normal"/>
              <w:spacing w:before="0" w:after="46"/>
              <w:jc w:val="both"/>
              <w:rPr>
                <w:sz w:val="22"/>
              </w:rPr>
            </w:pPr>
            <w:r>
              <w:rPr>
                <w:color w:val="000000"/>
                <w:sz w:val="24"/>
              </w:rPr>
              <w:t>* Passagem aérea e rodoviária (ida e volta);</w:t>
            </w:r>
          </w:p>
          <w:p>
            <w:pPr>
              <w:pStyle w:val="Normal"/>
              <w:spacing w:before="0" w:after="46"/>
              <w:jc w:val="both"/>
              <w:rPr>
                <w:sz w:val="22"/>
              </w:rPr>
            </w:pPr>
            <w:r>
              <w:rPr>
                <w:color w:val="000000"/>
                <w:sz w:val="24"/>
              </w:rPr>
              <w:t xml:space="preserve">* </w:t>
            </w:r>
            <w:r>
              <w:rPr>
                <w:color w:val="000009"/>
                <w:sz w:val="24"/>
              </w:rPr>
              <w:t>Reemissão de bilhete de passagem aérea não utilizado (não voado), quando necessário;</w:t>
            </w:r>
          </w:p>
          <w:p>
            <w:pPr>
              <w:pStyle w:val="Normal"/>
              <w:jc w:val="both"/>
              <w:rPr>
                <w:sz w:val="22"/>
              </w:rPr>
            </w:pPr>
            <w:r>
              <w:rPr>
                <w:color w:val="000009"/>
                <w:sz w:val="24"/>
              </w:rPr>
              <w:t>*Alteração de horário ou data do bilhete de passagem aérea emitido, quando necessário;</w:t>
            </w:r>
          </w:p>
          <w:p>
            <w:pPr>
              <w:pStyle w:val="Normal"/>
              <w:jc w:val="both"/>
              <w:rPr>
                <w:sz w:val="22"/>
              </w:rPr>
            </w:pPr>
            <w:r>
              <w:rPr>
                <w:color w:val="000009"/>
                <w:sz w:val="24"/>
              </w:rPr>
              <w:t>* Cancelamento de bilhete de passagem aérea, por Ordem;</w:t>
            </w:r>
          </w:p>
          <w:p>
            <w:pPr>
              <w:pStyle w:val="Normal"/>
              <w:spacing w:before="0" w:after="160"/>
              <w:jc w:val="both"/>
              <w:rPr>
                <w:sz w:val="22"/>
              </w:rPr>
            </w:pPr>
            <w:r>
              <w:rPr>
                <w:b/>
                <w:bCs/>
                <w:color w:val="000009"/>
                <w:sz w:val="24"/>
              </w:rPr>
              <w:t>* O serviço de agenciamento para passagens aérea será pago para a agência contratada com base no valor total da passagem aérea subtraído do percentual fixo ofertado pelo contratado sobre o valor de uma passagem aérea ida e volta.</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Serviço/Mensal</w:t>
            </w:r>
          </w:p>
        </w:tc>
        <w:tc>
          <w:tcPr>
            <w:tcW w:w="2045"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R$ ---</w:t>
            </w:r>
          </w:p>
        </w:tc>
        <w:tc>
          <w:tcPr>
            <w:tcW w:w="1870"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R$ ---</w:t>
            </w:r>
          </w:p>
        </w:tc>
      </w:tr>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02</w:t>
            </w:r>
          </w:p>
        </w:tc>
        <w:tc>
          <w:tcPr>
            <w:tcW w:w="4365" w:type="dxa"/>
            <w:tcBorders>
              <w:top w:val="single" w:sz="4" w:space="0" w:color="000000"/>
              <w:left w:val="single" w:sz="4" w:space="0" w:color="000000"/>
              <w:bottom w:val="single" w:sz="4" w:space="0" w:color="000000"/>
              <w:right w:val="single" w:sz="4" w:space="0" w:color="000000"/>
            </w:tcBorders>
          </w:tcPr>
          <w:p>
            <w:pPr>
              <w:pStyle w:val="Normal"/>
              <w:spacing w:before="0" w:after="46"/>
              <w:jc w:val="both"/>
              <w:rPr>
                <w:color w:val="000000"/>
                <w:sz w:val="24"/>
                <w:szCs w:val="24"/>
              </w:rPr>
            </w:pPr>
            <w:r>
              <w:rPr>
                <w:color w:val="000000"/>
                <w:sz w:val="24"/>
                <w:szCs w:val="24"/>
              </w:rPr>
              <w:t>Os serviços de emissão de passagens rodoviárias devem incluir:</w:t>
            </w:r>
          </w:p>
          <w:p>
            <w:pPr>
              <w:pStyle w:val="Normal"/>
              <w:spacing w:before="0" w:after="46"/>
              <w:jc w:val="both"/>
              <w:rPr>
                <w:color w:val="000000"/>
                <w:sz w:val="24"/>
                <w:szCs w:val="24"/>
              </w:rPr>
            </w:pPr>
            <w:r>
              <w:rPr>
                <w:color w:val="000000"/>
                <w:sz w:val="24"/>
                <w:szCs w:val="24"/>
              </w:rPr>
              <w:t>* Passagem rodoviária (ida e volta);</w:t>
            </w:r>
          </w:p>
          <w:p>
            <w:pPr>
              <w:pStyle w:val="Normal"/>
              <w:spacing w:before="0" w:after="46"/>
              <w:jc w:val="both"/>
              <w:rPr>
                <w:color w:val="000000"/>
                <w:sz w:val="24"/>
                <w:szCs w:val="24"/>
              </w:rPr>
            </w:pPr>
            <w:r>
              <w:rPr>
                <w:color w:val="000000"/>
                <w:sz w:val="24"/>
                <w:szCs w:val="24"/>
              </w:rPr>
              <w:t>* Reemissão de bilhete de passagem não utilizado (não embarcado), quando necessário;</w:t>
            </w:r>
          </w:p>
          <w:p>
            <w:pPr>
              <w:pStyle w:val="Normal"/>
              <w:spacing w:before="0" w:after="46"/>
              <w:jc w:val="both"/>
              <w:rPr>
                <w:color w:val="000000"/>
                <w:sz w:val="24"/>
                <w:szCs w:val="24"/>
              </w:rPr>
            </w:pPr>
            <w:r>
              <w:rPr>
                <w:color w:val="000000"/>
                <w:sz w:val="24"/>
                <w:szCs w:val="24"/>
              </w:rPr>
              <w:t>*Alteração de horário ou data do bilhete de passagem emitido, quando necessário;</w:t>
            </w:r>
          </w:p>
          <w:p>
            <w:pPr>
              <w:pStyle w:val="Normal"/>
              <w:spacing w:before="0" w:after="46"/>
              <w:jc w:val="both"/>
              <w:rPr>
                <w:color w:val="000000"/>
                <w:sz w:val="24"/>
                <w:szCs w:val="24"/>
              </w:rPr>
            </w:pPr>
            <w:r>
              <w:rPr>
                <w:color w:val="000000"/>
                <w:sz w:val="24"/>
                <w:szCs w:val="24"/>
              </w:rPr>
              <w:t>* Cancelamento de bilhete de passagem rodoviária, por Ordem;</w:t>
            </w:r>
          </w:p>
          <w:p>
            <w:pPr>
              <w:pStyle w:val="Normal"/>
              <w:spacing w:before="0" w:after="46"/>
              <w:jc w:val="both"/>
              <w:rPr>
                <w:color w:val="000000"/>
                <w:sz w:val="24"/>
                <w:szCs w:val="24"/>
              </w:rPr>
            </w:pPr>
            <w:r>
              <w:rPr>
                <w:color w:val="000000"/>
                <w:sz w:val="24"/>
                <w:szCs w:val="24"/>
              </w:rPr>
              <w:t>* O serviço de agenciamento para passagens rodoviárias será pago para a agência contratada com base no valor total da passagem subtraído do percentual fixo ofertado pelo contratado sobre o valor de uma passagem rodoviária ida e volta.</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Serviço/Mensal</w:t>
            </w:r>
          </w:p>
        </w:tc>
        <w:tc>
          <w:tcPr>
            <w:tcW w:w="2045"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R$ ---</w:t>
            </w:r>
          </w:p>
        </w:tc>
        <w:tc>
          <w:tcPr>
            <w:tcW w:w="1870"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R$ ---</w:t>
            </w:r>
          </w:p>
        </w:tc>
      </w:tr>
      <w:tr>
        <w:trPr/>
        <w:tc>
          <w:tcPr>
            <w:tcW w:w="6281" w:type="dxa"/>
            <w:gridSpan w:val="3"/>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TOTAL</w:t>
            </w:r>
          </w:p>
        </w:tc>
        <w:tc>
          <w:tcPr>
            <w:tcW w:w="2045"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R$ ---</w:t>
            </w:r>
          </w:p>
        </w:tc>
        <w:tc>
          <w:tcPr>
            <w:tcW w:w="1870"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R$ ----</w:t>
            </w:r>
          </w:p>
        </w:tc>
      </w:tr>
    </w:tbl>
    <w:p>
      <w:pPr>
        <w:pStyle w:val="Header"/>
        <w:widowControl w:val="false"/>
        <w:spacing w:lineRule="auto" w:line="276"/>
        <w:rPr>
          <w:b/>
          <w:szCs w:val="24"/>
        </w:rPr>
      </w:pPr>
      <w:r>
        <w:rPr>
          <w:b/>
          <w:szCs w:val="24"/>
        </w:rPr>
      </w:r>
    </w:p>
    <w:p>
      <w:pPr>
        <w:pStyle w:val="BodyTextIndent"/>
        <w:widowControl w:val="false"/>
        <w:spacing w:lineRule="auto" w:line="276"/>
        <w:ind w:left="0"/>
        <w:rPr>
          <w:szCs w:val="24"/>
        </w:rPr>
      </w:pPr>
      <w:r>
        <w:rPr>
          <w:szCs w:val="24"/>
        </w:rPr>
        <w:t xml:space="preserve">Prazo de validade da proposta é de </w:t>
      </w:r>
      <w:r>
        <w:rPr>
          <w:b/>
          <w:szCs w:val="24"/>
        </w:rPr>
        <w:t>60 (sessenta)</w:t>
      </w:r>
      <w:r>
        <w:rPr>
          <w:szCs w:val="24"/>
        </w:rPr>
        <w:t xml:space="preserve"> dias a partir da data de sua abertura.</w:t>
      </w:r>
    </w:p>
    <w:p>
      <w:pPr>
        <w:pStyle w:val="BodyTextIndent"/>
        <w:widowControl w:val="false"/>
        <w:spacing w:lineRule="auto" w:line="276"/>
        <w:ind w:left="0"/>
        <w:rPr>
          <w:szCs w:val="24"/>
        </w:rPr>
      </w:pPr>
      <w:r>
        <w:rPr>
          <w:szCs w:val="24"/>
        </w:rPr>
        <w:t>Declaramos que estão incluídas todas as despesas com tributos e fornecimento de certidões e documentos, bem como encargos fiscais, sociais, trabalhistas, previdenciários, comerciais e outros de qualquer natureza e, ainda, gastos com transporte e acondicionamento dos materiais em embalagens adequadas.</w:t>
      </w:r>
    </w:p>
    <w:p>
      <w:pPr>
        <w:pStyle w:val="Normal"/>
        <w:widowControl w:val="false"/>
        <w:spacing w:lineRule="auto" w:line="276"/>
        <w:jc w:val="both"/>
        <w:rPr>
          <w:sz w:val="24"/>
          <w:szCs w:val="24"/>
        </w:rPr>
      </w:pPr>
      <w:r>
        <w:rPr>
          <w:sz w:val="24"/>
          <w:szCs w:val="24"/>
        </w:rPr>
        <w:t>Declaramos que atendemos todas as exigências técnicas mínimas, inclusive de garantia, prazos de entrega e quantidades.</w:t>
      </w:r>
    </w:p>
    <w:p>
      <w:pPr>
        <w:pStyle w:val="Normal"/>
        <w:widowControl w:val="false"/>
        <w:spacing w:lineRule="auto" w:line="276"/>
        <w:jc w:val="both"/>
        <w:rPr>
          <w:sz w:val="24"/>
          <w:szCs w:val="24"/>
        </w:rPr>
      </w:pPr>
      <w:r>
        <w:rPr>
          <w:sz w:val="24"/>
          <w:szCs w:val="24"/>
        </w:rPr>
        <w:t>Informamos ainda, que os pagamentos deverão ser efetuados com todas as condições estabelecidas no Edital da Licitação e seus anexos, na Conta Corrente nº xxxxxxx Agência nº xxxx  do Banco Xxxxxxxx.</w:t>
      </w:r>
    </w:p>
    <w:p>
      <w:pPr>
        <w:pStyle w:val="Normal"/>
        <w:widowControl w:val="false"/>
        <w:spacing w:lineRule="auto" w:line="276"/>
        <w:jc w:val="both"/>
        <w:rPr>
          <w:sz w:val="24"/>
          <w:szCs w:val="24"/>
        </w:rPr>
      </w:pPr>
      <w:r>
        <w:rPr>
          <w:sz w:val="24"/>
          <w:szCs w:val="24"/>
        </w:rPr>
        <w:t>OBS.: Anexar toas as Planilhas (Se for necessário).</w:t>
        <w:tab/>
        <w:tab/>
      </w:r>
    </w:p>
    <w:p>
      <w:pPr>
        <w:pStyle w:val="List"/>
        <w:widowControl w:val="false"/>
        <w:spacing w:lineRule="auto" w:line="276"/>
        <w:jc w:val="right"/>
        <w:rPr>
          <w:szCs w:val="24"/>
        </w:rPr>
      </w:pPr>
      <w:r>
        <w:rPr>
          <w:szCs w:val="24"/>
        </w:rPr>
        <w:t>Local e data</w:t>
      </w:r>
    </w:p>
    <w:p>
      <w:pPr>
        <w:pStyle w:val="List"/>
        <w:widowControl w:val="false"/>
        <w:spacing w:lineRule="auto" w:line="276"/>
        <w:jc w:val="center"/>
        <w:rPr>
          <w:szCs w:val="24"/>
        </w:rPr>
      </w:pPr>
      <w:r>
        <w:rPr>
          <w:szCs w:val="24"/>
        </w:rPr>
      </w:r>
    </w:p>
    <w:p>
      <w:pPr>
        <w:pStyle w:val="List"/>
        <w:widowControl w:val="false"/>
        <w:spacing w:lineRule="auto" w:line="276"/>
        <w:jc w:val="center"/>
        <w:rPr>
          <w:szCs w:val="24"/>
        </w:rPr>
      </w:pPr>
      <w:r>
        <w:rPr>
          <w:szCs w:val="24"/>
        </w:rPr>
      </w:r>
    </w:p>
    <w:p>
      <w:pPr>
        <w:pStyle w:val="List"/>
        <w:widowControl w:val="false"/>
        <w:spacing w:lineRule="auto" w:line="276"/>
        <w:jc w:val="center"/>
        <w:rPr>
          <w:szCs w:val="24"/>
        </w:rPr>
      </w:pPr>
      <w:r>
        <w:rPr>
          <w:szCs w:val="24"/>
        </w:rPr>
      </w:r>
    </w:p>
    <w:p>
      <w:pPr>
        <w:pStyle w:val="List"/>
        <w:widowControl w:val="false"/>
        <w:spacing w:lineRule="auto" w:line="276"/>
        <w:jc w:val="center"/>
        <w:rPr>
          <w:szCs w:val="24"/>
        </w:rPr>
      </w:pPr>
      <w:r>
        <w:rPr>
          <w:szCs w:val="24"/>
        </w:rPr>
        <w:t>_________________________________________</w:t>
      </w:r>
    </w:p>
    <w:p>
      <w:pPr>
        <w:pStyle w:val="List"/>
        <w:widowControl w:val="false"/>
        <w:spacing w:lineRule="auto" w:line="276"/>
        <w:jc w:val="center"/>
        <w:rPr>
          <w:szCs w:val="24"/>
        </w:rPr>
      </w:pPr>
      <w:r>
        <w:rPr>
          <w:szCs w:val="24"/>
        </w:rPr>
        <w:t>Carimbo da empresa/Assinatura do responsável</w:t>
      </w:r>
    </w:p>
    <w:p>
      <w:pPr>
        <w:pStyle w:val="List"/>
        <w:widowControl w:val="false"/>
        <w:spacing w:lineRule="auto" w:line="276"/>
        <w:jc w:val="center"/>
        <w:rPr>
          <w:szCs w:val="24"/>
        </w:rPr>
      </w:pPr>
      <w:r>
        <w:rPr>
          <w:szCs w:val="24"/>
        </w:rPr>
      </w:r>
    </w:p>
    <w:p>
      <w:pPr>
        <w:pStyle w:val="List"/>
        <w:widowControl w:val="false"/>
        <w:spacing w:lineRule="auto" w:line="276"/>
        <w:jc w:val="center"/>
        <w:rPr>
          <w:szCs w:val="24"/>
        </w:rPr>
      </w:pPr>
      <w:r>
        <w:rPr>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List"/>
        <w:widowControl w:val="false"/>
        <w:spacing w:lineRule="auto" w:line="276"/>
        <w:ind w:hanging="0" w:left="0"/>
        <w:jc w:val="center"/>
        <w:rPr>
          <w:szCs w:val="24"/>
        </w:rPr>
      </w:pPr>
      <w:r>
        <w:rPr>
          <w:b/>
          <w:szCs w:val="24"/>
        </w:rPr>
        <w:t>ANEXO III - MODELO DE DECLARAÇÃO DE  REQUISITOS LEGAIS</w:t>
      </w:r>
    </w:p>
    <w:p>
      <w:pPr>
        <w:pStyle w:val="Normal"/>
        <w:widowControl w:val="false"/>
        <w:spacing w:lineRule="auto" w:line="276"/>
        <w:ind w:right="-1"/>
        <w:jc w:val="center"/>
        <w:rPr>
          <w:sz w:val="24"/>
          <w:szCs w:val="24"/>
        </w:rPr>
      </w:pPr>
      <w:r>
        <w:rPr>
          <w:sz w:val="24"/>
          <w:szCs w:val="24"/>
        </w:rPr>
        <w:t>Modelo da Declaração (Empregador Pessoa Jurídica)</w:t>
      </w:r>
    </w:p>
    <w:p>
      <w:pPr>
        <w:pStyle w:val="Normal"/>
        <w:widowControl w:val="false"/>
        <w:spacing w:lineRule="auto" w:line="276"/>
        <w:ind w:right="-1"/>
        <w:jc w:val="center"/>
        <w:rPr>
          <w:b/>
          <w:sz w:val="24"/>
          <w:szCs w:val="24"/>
        </w:rPr>
      </w:pPr>
      <w:r>
        <w:rPr>
          <w:b/>
          <w:sz w:val="24"/>
          <w:szCs w:val="24"/>
        </w:rPr>
        <w:t>(Papel timbrado da empresa)</w:t>
      </w:r>
    </w:p>
    <w:p>
      <w:pPr>
        <w:pStyle w:val="Normal"/>
        <w:widowControl w:val="false"/>
        <w:spacing w:lineRule="auto" w:line="276"/>
        <w:ind w:right="-1"/>
        <w:jc w:val="both"/>
        <w:rPr>
          <w:sz w:val="24"/>
          <w:szCs w:val="24"/>
        </w:rPr>
      </w:pPr>
      <w:r>
        <w:rPr>
          <w:sz w:val="24"/>
          <w:szCs w:val="24"/>
        </w:rPr>
      </w:r>
    </w:p>
    <w:p>
      <w:pPr>
        <w:pStyle w:val="Normal"/>
        <w:widowControl w:val="false"/>
        <w:spacing w:lineRule="auto" w:line="276"/>
        <w:ind w:right="-1"/>
        <w:jc w:val="both"/>
        <w:rPr>
          <w:sz w:val="24"/>
          <w:szCs w:val="24"/>
        </w:rPr>
      </w:pPr>
      <w:r>
        <w:rPr>
          <w:sz w:val="24"/>
          <w:szCs w:val="24"/>
        </w:rPr>
        <w:t>A</w:t>
      </w:r>
    </w:p>
    <w:p>
      <w:pPr>
        <w:pStyle w:val="Normal"/>
        <w:widowControl w:val="false"/>
        <w:spacing w:lineRule="auto" w:line="276"/>
        <w:ind w:right="-1"/>
        <w:jc w:val="both"/>
        <w:rPr>
          <w:sz w:val="24"/>
          <w:szCs w:val="24"/>
        </w:rPr>
      </w:pPr>
      <w:r>
        <w:rPr>
          <w:sz w:val="24"/>
          <w:szCs w:val="24"/>
        </w:rPr>
        <w:t>Conselho Regional de Odontologia do Mato Grosso</w:t>
      </w:r>
    </w:p>
    <w:p>
      <w:pPr>
        <w:pStyle w:val="Normal"/>
        <w:widowControl w:val="false"/>
        <w:spacing w:lineRule="auto" w:line="276"/>
        <w:ind w:right="-1"/>
        <w:jc w:val="both"/>
        <w:rPr>
          <w:sz w:val="24"/>
          <w:szCs w:val="24"/>
        </w:rPr>
      </w:pPr>
      <w:r>
        <w:rPr>
          <w:sz w:val="24"/>
          <w:szCs w:val="24"/>
        </w:rPr>
        <w:t xml:space="preserve">Ref.: </w:t>
      </w:r>
      <w:r>
        <w:rPr>
          <w:b/>
          <w:sz w:val="24"/>
          <w:szCs w:val="24"/>
        </w:rPr>
        <w:t>Licitação na modalidade Pregão Eletrônico nº 0*/20**</w:t>
      </w:r>
    </w:p>
    <w:p>
      <w:pPr>
        <w:pStyle w:val="Normal"/>
        <w:widowControl w:val="false"/>
        <w:spacing w:lineRule="auto" w:line="276"/>
        <w:ind w:right="-1"/>
        <w:jc w:val="both"/>
        <w:rPr>
          <w:sz w:val="24"/>
          <w:szCs w:val="24"/>
        </w:rPr>
      </w:pPr>
      <w:r>
        <w:rPr>
          <w:sz w:val="24"/>
          <w:szCs w:val="24"/>
        </w:rPr>
      </w:r>
    </w:p>
    <w:p>
      <w:pPr>
        <w:pStyle w:val="Normal"/>
        <w:widowControl w:val="false"/>
        <w:spacing w:lineRule="auto" w:line="276"/>
        <w:jc w:val="both"/>
        <w:rPr>
          <w:sz w:val="24"/>
          <w:szCs w:val="24"/>
        </w:rPr>
      </w:pPr>
      <w:r>
        <w:rPr>
          <w:sz w:val="24"/>
          <w:szCs w:val="24"/>
        </w:rPr>
        <w:t>(Nome da Empresa) -----------------------------------, CNPJ Nº ------------------------, sediada na Rua --------------------------------------, n. -----------, bairro, -----------------------, CEP---------- Município -------------------------, por seu representante legal abaixo assinado, em cumprimento ao solicitado no Edital do</w:t>
      </w:r>
      <w:r>
        <w:rPr>
          <w:b/>
          <w:sz w:val="24"/>
          <w:szCs w:val="24"/>
        </w:rPr>
        <w:t xml:space="preserve"> Pregão Eletrônico nº **/20**</w:t>
      </w:r>
      <w:r>
        <w:rPr>
          <w:sz w:val="24"/>
          <w:szCs w:val="24"/>
        </w:rPr>
        <w:t xml:space="preserve"> – Conselho Regional de Odontologia do Mato Grosso. DECLARA, sob as penas da lei, que:</w:t>
      </w:r>
    </w:p>
    <w:p>
      <w:pPr>
        <w:pStyle w:val="Normal"/>
        <w:widowControl w:val="false"/>
        <w:spacing w:lineRule="auto" w:line="276"/>
        <w:jc w:val="both"/>
        <w:rPr>
          <w:sz w:val="24"/>
          <w:szCs w:val="24"/>
        </w:rPr>
      </w:pPr>
      <w:r>
        <w:rPr>
          <w:sz w:val="24"/>
          <w:szCs w:val="24"/>
        </w:rPr>
        <w:t xml:space="preserve">• </w:t>
      </w:r>
      <w:r>
        <w:rPr>
          <w:sz w:val="24"/>
          <w:szCs w:val="24"/>
        </w:rPr>
        <w:t>Não possui em seu quadro de pessoal empregado(s) com menos de 18 (dezoito) anos em trabalho noturno, perigoso ou insalubre, menores de 16 (dezesseis) anos, em qualquer trabalho, salvo na condição de aprendiz*, a partir de 14 (quatorze) anos, nos termos do inciso XXXIII do art. 7º da Constituição Federal, art. 62, da Lei 14.133/21, com redação determinada pela Lei nº 9.854/1999.</w:t>
      </w:r>
    </w:p>
    <w:p>
      <w:pPr>
        <w:pStyle w:val="Normal"/>
        <w:widowControl w:val="false"/>
        <w:spacing w:lineRule="auto" w:line="276"/>
        <w:jc w:val="both"/>
        <w:rPr>
          <w:sz w:val="24"/>
          <w:szCs w:val="24"/>
        </w:rPr>
      </w:pPr>
      <w:r>
        <w:rPr>
          <w:sz w:val="24"/>
          <w:szCs w:val="24"/>
        </w:rPr>
        <w:t xml:space="preserve">• </w:t>
      </w:r>
      <w:r>
        <w:rPr>
          <w:sz w:val="24"/>
          <w:szCs w:val="24"/>
        </w:rPr>
        <w:t>Não possui em seu quadro de pessoal, empregados/servidores públicos do Conselho Regional de Odontologia do Mato Grosso exercendo funções técnicas, comerciais, de gerência, administração ou tomada de decisão, (art. 9º da Lei 14.133/21 e inciso X do artigo 144 da Lei Complementar nº 04/90).</w:t>
      </w:r>
    </w:p>
    <w:p>
      <w:pPr>
        <w:pStyle w:val="Normal"/>
        <w:widowControl w:val="false"/>
        <w:spacing w:lineRule="auto" w:line="276"/>
        <w:jc w:val="both"/>
        <w:rPr>
          <w:sz w:val="24"/>
          <w:szCs w:val="24"/>
        </w:rPr>
      </w:pPr>
      <w:r>
        <w:rPr>
          <w:sz w:val="24"/>
          <w:szCs w:val="24"/>
        </w:rPr>
        <w:t xml:space="preserve">• </w:t>
      </w:r>
      <w:r>
        <w:rPr>
          <w:sz w:val="24"/>
          <w:szCs w:val="24"/>
        </w:rPr>
        <w:t>Não ser cônjuge, companheiro ou parente em linha reta, colateral ou por afinidade até o terceiro grau de servidor/empregado público ou agente político, inclusive da autoridade nomeante, investido em cargo de direção, chefia ou assessoramento, para o exercício de cargo em comissão ou de confiança, que for detentor de poder de influência sobre o resultado do certame, considerado todo aquele que participa, direta ou indiretamente, das etapas do processo de licitação, nos termos da Resolução de Consulta nº 05/2016 do TCE-MT.</w:t>
      </w:r>
    </w:p>
    <w:p>
      <w:pPr>
        <w:pStyle w:val="Normal"/>
        <w:widowControl w:val="false"/>
        <w:spacing w:lineRule="auto" w:line="276"/>
        <w:ind w:right="-1"/>
        <w:jc w:val="center"/>
        <w:rPr>
          <w:sz w:val="24"/>
          <w:szCs w:val="24"/>
        </w:rPr>
      </w:pPr>
      <w:r>
        <w:rPr>
          <w:sz w:val="24"/>
          <w:szCs w:val="24"/>
        </w:rPr>
      </w:r>
    </w:p>
    <w:p>
      <w:pPr>
        <w:pStyle w:val="Normal"/>
        <w:widowControl w:val="false"/>
        <w:tabs>
          <w:tab w:val="clear" w:pos="708"/>
          <w:tab w:val="left" w:pos="4017" w:leader="none"/>
          <w:tab w:val="center" w:pos="4820" w:leader="none"/>
        </w:tabs>
        <w:spacing w:lineRule="auto" w:line="276"/>
        <w:ind w:right="-1"/>
        <w:jc w:val="center"/>
        <w:rPr>
          <w:sz w:val="24"/>
          <w:szCs w:val="24"/>
        </w:rPr>
      </w:pPr>
      <w:r>
        <w:rPr>
          <w:sz w:val="24"/>
          <w:szCs w:val="24"/>
        </w:rPr>
        <w:t>Local e data</w:t>
      </w:r>
    </w:p>
    <w:p>
      <w:pPr>
        <w:pStyle w:val="Normal"/>
        <w:widowControl w:val="false"/>
        <w:spacing w:lineRule="auto" w:line="276"/>
        <w:ind w:right="-1"/>
        <w:jc w:val="center"/>
        <w:rPr>
          <w:sz w:val="24"/>
          <w:szCs w:val="24"/>
        </w:rPr>
      </w:pPr>
      <w:r>
        <w:rPr>
          <w:sz w:val="24"/>
          <w:szCs w:val="24"/>
        </w:rPr>
      </w:r>
    </w:p>
    <w:p>
      <w:pPr>
        <w:pStyle w:val="Normal"/>
        <w:widowControl w:val="false"/>
        <w:spacing w:lineRule="auto" w:line="276"/>
        <w:ind w:right="-1"/>
        <w:jc w:val="center"/>
        <w:rPr>
          <w:sz w:val="24"/>
          <w:szCs w:val="24"/>
        </w:rPr>
      </w:pPr>
      <w:r>
        <w:rPr>
          <w:sz w:val="24"/>
          <w:szCs w:val="24"/>
        </w:rPr>
        <w:t>Assinatura do representante legal</w:t>
      </w:r>
    </w:p>
    <w:p>
      <w:pPr>
        <w:pStyle w:val="Normal"/>
        <w:widowControl w:val="false"/>
        <w:spacing w:lineRule="auto" w:line="276"/>
        <w:ind w:right="-1"/>
        <w:jc w:val="center"/>
        <w:rPr>
          <w:sz w:val="24"/>
          <w:szCs w:val="24"/>
        </w:rPr>
      </w:pPr>
      <w:r>
        <w:rPr>
          <w:sz w:val="24"/>
          <w:szCs w:val="24"/>
        </w:rPr>
        <w:t>CPF:</w:t>
      </w:r>
    </w:p>
    <w:p>
      <w:pPr>
        <w:pStyle w:val="Normal"/>
        <w:widowControl w:val="false"/>
        <w:spacing w:lineRule="auto" w:line="276"/>
        <w:ind w:right="-1"/>
        <w:jc w:val="center"/>
        <w:rPr>
          <w:sz w:val="24"/>
          <w:szCs w:val="24"/>
        </w:rPr>
      </w:pPr>
      <w:r>
        <w:rPr>
          <w:sz w:val="24"/>
          <w:szCs w:val="24"/>
        </w:rPr>
        <w:t>Carimbo de CNPJ da empresa:</w:t>
      </w:r>
    </w:p>
    <w:p>
      <w:pPr>
        <w:pStyle w:val="Heading2"/>
        <w:keepNext w:val="false"/>
        <w:widowControl w:val="false"/>
        <w:spacing w:lineRule="auto" w:line="276"/>
        <w:rPr>
          <w:color w:val="auto"/>
          <w:szCs w:val="24"/>
        </w:rPr>
      </w:pPr>
      <w:r>
        <w:rPr>
          <w:color w:themeColor="accent1" w:val="auto"/>
          <w:szCs w:val="24"/>
        </w:rPr>
      </w:r>
    </w:p>
    <w:p>
      <w:pPr>
        <w:pStyle w:val="Normal"/>
        <w:widowControl w:val="false"/>
        <w:spacing w:lineRule="auto" w:line="276"/>
        <w:jc w:val="center"/>
        <w:rPr>
          <w:sz w:val="24"/>
          <w:szCs w:val="24"/>
        </w:rPr>
      </w:pPr>
      <w:r>
        <w:rPr>
          <w:sz w:val="24"/>
          <w:szCs w:val="24"/>
        </w:rPr>
        <w:t>( ) Ressalva: emprega menor, a partir de quatorze anos, na condição de aprendiz*.</w:t>
      </w:r>
    </w:p>
    <w:p>
      <w:pPr>
        <w:pStyle w:val="Header"/>
        <w:widowControl w:val="false"/>
        <w:spacing w:lineRule="auto" w:line="276"/>
        <w:rPr>
          <w:b/>
          <w:szCs w:val="24"/>
        </w:rPr>
      </w:pPr>
      <w:r>
        <w:rPr>
          <w:b/>
          <w:szCs w:val="24"/>
        </w:rPr>
        <w:t xml:space="preserve">                             </w:t>
      </w:r>
    </w:p>
    <w:p>
      <w:pPr>
        <w:pStyle w:val="Header"/>
        <w:widowControl w:val="false"/>
        <w:spacing w:lineRule="auto" w:line="276"/>
        <w:rPr>
          <w:b/>
          <w:szCs w:val="24"/>
        </w:rPr>
      </w:pPr>
      <w:r>
        <w:rPr>
          <w:b/>
          <w:szCs w:val="24"/>
        </w:rPr>
      </w:r>
    </w:p>
    <w:p>
      <w:pPr>
        <w:pStyle w:val="Header"/>
        <w:widowControl w:val="false"/>
        <w:spacing w:lineRule="auto" w:line="276"/>
        <w:rPr>
          <w:b/>
          <w:szCs w:val="24"/>
        </w:rPr>
      </w:pPr>
      <w:r>
        <w:rPr>
          <w:b/>
          <w:szCs w:val="24"/>
        </w:rPr>
      </w:r>
    </w:p>
    <w:p>
      <w:pPr>
        <w:pStyle w:val="Header"/>
        <w:widowControl w:val="false"/>
        <w:spacing w:lineRule="auto" w:line="276"/>
        <w:rPr>
          <w:b/>
          <w:szCs w:val="24"/>
        </w:rPr>
      </w:pPr>
      <w:r>
        <w:rPr>
          <w:b/>
          <w:szCs w:val="24"/>
        </w:rPr>
      </w:r>
    </w:p>
    <w:p>
      <w:pPr>
        <w:pStyle w:val="Header"/>
        <w:widowControl w:val="false"/>
        <w:spacing w:lineRule="auto" w:line="276"/>
        <w:rPr>
          <w:b/>
          <w:szCs w:val="24"/>
        </w:rPr>
      </w:pPr>
      <w:r>
        <w:rPr>
          <w:b/>
          <w:szCs w:val="24"/>
        </w:rPr>
      </w:r>
    </w:p>
    <w:p>
      <w:pPr>
        <w:pStyle w:val="Header"/>
        <w:widowControl w:val="false"/>
        <w:spacing w:lineRule="auto" w:line="276"/>
        <w:rPr>
          <w:b/>
          <w:szCs w:val="24"/>
        </w:rPr>
      </w:pPr>
      <w:r>
        <w:rPr>
          <w:b/>
          <w:szCs w:val="24"/>
        </w:rPr>
      </w:r>
    </w:p>
    <w:p>
      <w:pPr>
        <w:pStyle w:val="Header"/>
        <w:widowControl w:val="false"/>
        <w:spacing w:lineRule="auto" w:line="276"/>
        <w:rPr>
          <w:b/>
          <w:szCs w:val="24"/>
        </w:rPr>
      </w:pPr>
      <w:r>
        <w:rPr>
          <w:b/>
          <w:szCs w:val="24"/>
        </w:rPr>
      </w:r>
    </w:p>
    <w:p>
      <w:pPr>
        <w:pStyle w:val="Header"/>
        <w:widowControl w:val="false"/>
        <w:spacing w:lineRule="auto" w:line="276"/>
        <w:rPr>
          <w:b/>
          <w:szCs w:val="24"/>
        </w:rPr>
      </w:pPr>
      <w:r>
        <w:rPr>
          <w:b/>
          <w:szCs w:val="24"/>
        </w:rPr>
      </w:r>
    </w:p>
    <w:p>
      <w:pPr>
        <w:pStyle w:val="Header"/>
        <w:widowControl w:val="false"/>
        <w:spacing w:lineRule="auto" w:line="276"/>
        <w:rPr>
          <w:b/>
          <w:szCs w:val="24"/>
        </w:rPr>
      </w:pPr>
      <w:r>
        <w:rPr>
          <w:b/>
          <w:szCs w:val="24"/>
        </w:rPr>
      </w:r>
    </w:p>
    <w:p>
      <w:pPr>
        <w:pStyle w:val="Header"/>
        <w:widowControl w:val="false"/>
        <w:spacing w:lineRule="auto" w:line="276"/>
        <w:rPr>
          <w:b/>
          <w:szCs w:val="24"/>
        </w:rPr>
      </w:pPr>
      <w:r>
        <w:rPr>
          <w:b/>
          <w:szCs w:val="24"/>
        </w:rPr>
      </w:r>
    </w:p>
    <w:p>
      <w:pPr>
        <w:pStyle w:val="Header"/>
        <w:widowControl w:val="false"/>
        <w:spacing w:lineRule="auto" w:line="276"/>
        <w:rPr>
          <w:b/>
          <w:szCs w:val="24"/>
        </w:rPr>
      </w:pPr>
      <w:r>
        <w:rPr>
          <w:b/>
          <w:szCs w:val="24"/>
        </w:rPr>
      </w:r>
    </w:p>
    <w:p>
      <w:pPr>
        <w:pStyle w:val="Normal"/>
        <w:widowControl w:val="false"/>
        <w:spacing w:lineRule="auto" w:line="276"/>
        <w:jc w:val="center"/>
        <w:rPr>
          <w:b/>
          <w:sz w:val="24"/>
          <w:szCs w:val="24"/>
        </w:rPr>
      </w:pPr>
      <w:r>
        <w:rPr>
          <w:b/>
          <w:sz w:val="24"/>
          <w:szCs w:val="24"/>
        </w:rPr>
        <w:t>ANEXO IV - MODELO DE DECLARAÇÃO DE SUPERVENIÊNCIA DE FATOS IMPEDITIVOS</w:t>
      </w:r>
    </w:p>
    <w:p>
      <w:pPr>
        <w:pStyle w:val="Normal"/>
        <w:widowControl w:val="false"/>
        <w:spacing w:lineRule="auto" w:line="276"/>
        <w:ind w:right="-1"/>
        <w:jc w:val="center"/>
        <w:rPr>
          <w:b/>
          <w:sz w:val="24"/>
          <w:szCs w:val="24"/>
        </w:rPr>
      </w:pPr>
      <w:r>
        <w:rPr>
          <w:b/>
          <w:sz w:val="24"/>
          <w:szCs w:val="24"/>
        </w:rPr>
        <w:t>Papel timbrado da empresa)</w:t>
      </w:r>
    </w:p>
    <w:p>
      <w:pPr>
        <w:pStyle w:val="BodyTextIndent2"/>
        <w:widowControl w:val="false"/>
        <w:spacing w:lineRule="auto" w:line="276"/>
        <w:ind w:firstLine="1416"/>
        <w:rPr>
          <w:strike w:val="false"/>
          <w:dstrike w:val="false"/>
          <w:szCs w:val="24"/>
        </w:rPr>
      </w:pPr>
      <w:r>
        <w:rPr>
          <w:strike w:val="false"/>
          <w:dstrike w:val="false"/>
          <w:szCs w:val="24"/>
        </w:rPr>
      </w:r>
    </w:p>
    <w:p>
      <w:pPr>
        <w:pStyle w:val="BodyTextIndent2"/>
        <w:widowControl w:val="false"/>
        <w:spacing w:lineRule="auto" w:line="276"/>
        <w:ind w:firstLine="1416"/>
        <w:rPr>
          <w:strike w:val="false"/>
          <w:dstrike w:val="false"/>
          <w:szCs w:val="24"/>
        </w:rPr>
      </w:pPr>
      <w:r>
        <w:rPr>
          <w:strike w:val="false"/>
          <w:dstrike w:val="false"/>
          <w:szCs w:val="24"/>
        </w:rPr>
      </w:r>
    </w:p>
    <w:p>
      <w:pPr>
        <w:pStyle w:val="BodyTextIndent2"/>
        <w:widowControl w:val="false"/>
        <w:spacing w:lineRule="auto" w:line="276"/>
        <w:ind w:firstLine="1416"/>
        <w:rPr>
          <w:strike w:val="false"/>
          <w:dstrike w:val="false"/>
          <w:szCs w:val="24"/>
        </w:rPr>
      </w:pPr>
      <w:r>
        <w:rPr>
          <w:strike w:val="false"/>
          <w:dstrike w:val="false"/>
          <w:szCs w:val="24"/>
        </w:rPr>
        <w:t xml:space="preserve">A empresa __________________, CNPJ _________________, sediada na Rua/Av. ______, Bairro __________, cidade __________, neste ato representada pelo Sr.(a) ______________, portador do RG ______________ e inscrito no CPF sob o número ______________, no uso de suas atribuições legais, comprometendo-se nos termos da legislação reguladora da matéria, a informar a qualquer tempo, sob pena das penalidades cabíveis, a inexistência de fatos supervenientes impeditivos a habilitação para este certame licitatório no Conselho Regional de Odontologia do Mato Grosso, </w:t>
      </w:r>
      <w:r>
        <w:rPr>
          <w:b/>
          <w:strike w:val="false"/>
          <w:dstrike w:val="false"/>
          <w:szCs w:val="24"/>
        </w:rPr>
        <w:t>Pregão Eletrônico</w:t>
      </w:r>
      <w:r>
        <w:rPr>
          <w:strike w:val="false"/>
          <w:dstrike w:val="false"/>
          <w:szCs w:val="24"/>
        </w:rPr>
        <w:t xml:space="preserve"> </w:t>
      </w:r>
      <w:r>
        <w:rPr>
          <w:b/>
          <w:strike w:val="false"/>
          <w:dstrike w:val="false"/>
          <w:szCs w:val="24"/>
        </w:rPr>
        <w:t>nº **/20**</w:t>
      </w:r>
      <w:r>
        <w:rPr>
          <w:strike w:val="false"/>
          <w:dstrike w:val="false"/>
          <w:szCs w:val="24"/>
        </w:rPr>
        <w:t>, na forma determinada no artigo 70, da lei 14.133/21 e alterações, devidamente assinada pelo representante legal da empresa participante.</w:t>
      </w:r>
    </w:p>
    <w:p>
      <w:pPr>
        <w:pStyle w:val="BodyTextIndent2"/>
        <w:widowControl w:val="false"/>
        <w:spacing w:lineRule="auto" w:line="276"/>
        <w:rPr>
          <w:strike w:val="false"/>
          <w:dstrike w:val="false"/>
          <w:szCs w:val="24"/>
        </w:rPr>
      </w:pPr>
      <w:r>
        <w:rPr>
          <w:strike w:val="false"/>
          <w:dstrike w:val="false"/>
          <w:szCs w:val="24"/>
        </w:rPr>
      </w:r>
    </w:p>
    <w:p>
      <w:pPr>
        <w:pStyle w:val="BodyTextIndent2"/>
        <w:widowControl w:val="false"/>
        <w:spacing w:lineRule="auto" w:line="276"/>
        <w:rPr>
          <w:strike w:val="false"/>
          <w:dstrike w:val="false"/>
          <w:szCs w:val="24"/>
        </w:rPr>
      </w:pPr>
      <w:r>
        <w:rPr>
          <w:strike w:val="false"/>
          <w:dstrike w:val="false"/>
          <w:szCs w:val="24"/>
        </w:rPr>
      </w:r>
    </w:p>
    <w:p>
      <w:pPr>
        <w:pStyle w:val="BodyTextIndent2"/>
        <w:widowControl w:val="false"/>
        <w:spacing w:lineRule="auto" w:line="276"/>
        <w:ind w:firstLine="1560" w:right="-1"/>
        <w:rPr>
          <w:strike w:val="false"/>
          <w:dstrike w:val="false"/>
          <w:szCs w:val="24"/>
        </w:rPr>
      </w:pPr>
      <w:r>
        <w:rPr>
          <w:strike w:val="false"/>
          <w:dstrike w:val="false"/>
          <w:szCs w:val="24"/>
        </w:rPr>
      </w:r>
    </w:p>
    <w:p>
      <w:pPr>
        <w:pStyle w:val="BodyTextIndent2"/>
        <w:widowControl w:val="false"/>
        <w:spacing w:lineRule="auto" w:line="276"/>
        <w:ind w:hanging="0" w:right="-1"/>
        <w:jc w:val="center"/>
        <w:rPr>
          <w:strike w:val="false"/>
          <w:dstrike w:val="false"/>
          <w:szCs w:val="24"/>
        </w:rPr>
      </w:pPr>
      <w:r>
        <w:rPr>
          <w:strike w:val="false"/>
          <w:dstrike w:val="false"/>
          <w:szCs w:val="24"/>
        </w:rPr>
        <w:t>Local e data,</w:t>
      </w:r>
    </w:p>
    <w:p>
      <w:pPr>
        <w:pStyle w:val="BodyTextIndent2"/>
        <w:widowControl w:val="false"/>
        <w:spacing w:lineRule="auto" w:line="276"/>
        <w:ind w:firstLine="1560" w:right="-1"/>
        <w:jc w:val="center"/>
        <w:rPr>
          <w:strike w:val="false"/>
          <w:dstrike w:val="false"/>
          <w:szCs w:val="24"/>
        </w:rPr>
      </w:pPr>
      <w:r>
        <w:rPr>
          <w:strike w:val="false"/>
          <w:dstrike w:val="false"/>
          <w:szCs w:val="24"/>
        </w:rPr>
      </w:r>
    </w:p>
    <w:p>
      <w:pPr>
        <w:pStyle w:val="BodyTextIndent2"/>
        <w:widowControl w:val="false"/>
        <w:spacing w:lineRule="auto" w:line="276"/>
        <w:ind w:firstLine="1560" w:right="-1"/>
        <w:jc w:val="center"/>
        <w:rPr>
          <w:strike w:val="false"/>
          <w:dstrike w:val="false"/>
          <w:szCs w:val="24"/>
        </w:rPr>
      </w:pPr>
      <w:r>
        <w:rPr>
          <w:strike w:val="false"/>
          <w:dstrike w:val="false"/>
          <w:szCs w:val="24"/>
        </w:rPr>
      </w:r>
    </w:p>
    <w:p>
      <w:pPr>
        <w:pStyle w:val="BodyTextIndent2"/>
        <w:widowControl w:val="false"/>
        <w:spacing w:lineRule="auto" w:line="276"/>
        <w:ind w:firstLine="1560" w:right="-1"/>
        <w:jc w:val="center"/>
        <w:rPr>
          <w:strike w:val="false"/>
          <w:dstrike w:val="false"/>
          <w:szCs w:val="24"/>
        </w:rPr>
      </w:pPr>
      <w:r>
        <w:rPr>
          <w:strike w:val="false"/>
          <w:dstrike w:val="false"/>
          <w:szCs w:val="24"/>
        </w:rPr>
      </w:r>
    </w:p>
    <w:p>
      <w:pPr>
        <w:pStyle w:val="BodyTextIndent2"/>
        <w:widowControl w:val="false"/>
        <w:spacing w:lineRule="auto" w:line="276"/>
        <w:ind w:hanging="0" w:right="-1"/>
        <w:jc w:val="center"/>
        <w:rPr>
          <w:strike w:val="false"/>
          <w:dstrike w:val="false"/>
          <w:szCs w:val="24"/>
        </w:rPr>
      </w:pPr>
      <w:r>
        <w:rPr>
          <w:strike w:val="false"/>
          <w:dstrike w:val="false"/>
          <w:szCs w:val="24"/>
        </w:rPr>
        <w:t>_____________________________________________</w:t>
      </w:r>
    </w:p>
    <w:p>
      <w:pPr>
        <w:pStyle w:val="Normal"/>
        <w:widowControl w:val="false"/>
        <w:spacing w:lineRule="auto" w:line="276"/>
        <w:ind w:right="-1"/>
        <w:jc w:val="center"/>
        <w:rPr>
          <w:sz w:val="24"/>
          <w:szCs w:val="24"/>
        </w:rPr>
      </w:pPr>
      <w:r>
        <w:rPr>
          <w:sz w:val="24"/>
          <w:szCs w:val="24"/>
        </w:rPr>
        <w:t>(assinatura e identificação do responsável pela empresa)</w:t>
      </w:r>
    </w:p>
    <w:p>
      <w:pPr>
        <w:pStyle w:val="Normal"/>
        <w:widowControl w:val="false"/>
        <w:spacing w:lineRule="auto" w:line="276"/>
        <w:ind w:right="-1"/>
        <w:jc w:val="center"/>
        <w:rPr>
          <w:sz w:val="24"/>
          <w:szCs w:val="24"/>
        </w:rPr>
      </w:pPr>
      <w:r>
        <w:rPr>
          <w:sz w:val="24"/>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Header"/>
        <w:widowControl w:val="false"/>
        <w:spacing w:lineRule="auto" w:line="276"/>
        <w:jc w:val="center"/>
        <w:rPr>
          <w:b/>
          <w:szCs w:val="24"/>
        </w:rPr>
      </w:pPr>
      <w:r>
        <w:rPr>
          <w:b/>
          <w:szCs w:val="24"/>
        </w:rPr>
      </w:r>
    </w:p>
    <w:p>
      <w:pPr>
        <w:pStyle w:val="Normal"/>
        <w:widowControl w:val="false"/>
        <w:spacing w:lineRule="auto" w:line="276"/>
        <w:rPr>
          <w:b/>
          <w:sz w:val="24"/>
          <w:szCs w:val="24"/>
        </w:rPr>
      </w:pPr>
      <w:r>
        <w:rPr>
          <w:b/>
          <w:sz w:val="24"/>
          <w:szCs w:val="24"/>
        </w:rPr>
      </w:r>
    </w:p>
    <w:p>
      <w:pPr>
        <w:pStyle w:val="Normal"/>
        <w:widowControl w:val="false"/>
        <w:spacing w:lineRule="auto" w:line="276"/>
        <w:jc w:val="center"/>
        <w:rPr>
          <w:b/>
          <w:sz w:val="24"/>
          <w:szCs w:val="24"/>
        </w:rPr>
      </w:pPr>
      <w:r>
        <w:rPr>
          <w:b/>
          <w:sz w:val="24"/>
          <w:szCs w:val="24"/>
        </w:rPr>
        <w:t>ANEXO V – REQUERIMENTO TRATAMENTO DIFERENCIADO ME/EPP</w:t>
      </w:r>
    </w:p>
    <w:p>
      <w:pPr>
        <w:pStyle w:val="Normal"/>
        <w:widowControl w:val="false"/>
        <w:spacing w:lineRule="auto" w:line="276"/>
        <w:ind w:right="-1"/>
        <w:jc w:val="center"/>
        <w:rPr>
          <w:b/>
          <w:sz w:val="24"/>
          <w:szCs w:val="24"/>
        </w:rPr>
      </w:pPr>
      <w:r>
        <w:rPr>
          <w:b/>
          <w:sz w:val="24"/>
          <w:szCs w:val="24"/>
        </w:rPr>
        <w:t>(Papel timbrado da empresa)</w:t>
      </w:r>
    </w:p>
    <w:p>
      <w:pPr>
        <w:pStyle w:val="Normal"/>
        <w:widowControl w:val="false"/>
        <w:spacing w:lineRule="auto" w:line="276"/>
        <w:jc w:val="both"/>
        <w:rPr>
          <w:sz w:val="24"/>
          <w:szCs w:val="24"/>
        </w:rPr>
      </w:pPr>
      <w:r>
        <w:rPr>
          <w:sz w:val="24"/>
          <w:szCs w:val="24"/>
        </w:rPr>
      </w:r>
    </w:p>
    <w:p>
      <w:pPr>
        <w:pStyle w:val="Normal"/>
        <w:widowControl w:val="false"/>
        <w:spacing w:lineRule="auto" w:line="276"/>
        <w:jc w:val="both"/>
        <w:rPr>
          <w:sz w:val="24"/>
          <w:szCs w:val="24"/>
        </w:rPr>
      </w:pPr>
      <w:r>
        <w:rPr>
          <w:sz w:val="24"/>
          <w:szCs w:val="24"/>
        </w:rPr>
        <w:t>REQUERIMENTO DE BENEFÍCIO DO TRATAMENTO DIFERENCIADO E DECLA</w:t>
        <w:softHyphen/>
        <w:t>RA</w:t>
        <w:softHyphen/>
        <w:t>ÇÃO PARA MICROEMPRESAS E EMPRESAS DE PEQUENO PORTE (Lei Comple</w:t>
        <w:softHyphen/>
        <w:t>men</w:t>
        <w:softHyphen/>
        <w:t>tar nº 123/2006)</w:t>
      </w:r>
    </w:p>
    <w:p>
      <w:pPr>
        <w:pStyle w:val="Normal"/>
        <w:widowControl w:val="false"/>
        <w:spacing w:lineRule="auto" w:line="276"/>
        <w:jc w:val="both"/>
        <w:rPr>
          <w:sz w:val="24"/>
          <w:szCs w:val="24"/>
        </w:rPr>
      </w:pPr>
      <w:r>
        <w:rPr>
          <w:sz w:val="24"/>
          <w:szCs w:val="24"/>
        </w:rPr>
      </w:r>
    </w:p>
    <w:p>
      <w:pPr>
        <w:pStyle w:val="Normal"/>
        <w:widowControl w:val="false"/>
        <w:spacing w:lineRule="auto" w:line="276"/>
        <w:jc w:val="both"/>
        <w:rPr>
          <w:sz w:val="24"/>
          <w:szCs w:val="24"/>
        </w:rPr>
      </w:pPr>
      <w:r>
        <w:rPr>
          <w:sz w:val="24"/>
          <w:szCs w:val="24"/>
        </w:rPr>
      </w:r>
    </w:p>
    <w:p>
      <w:pPr>
        <w:pStyle w:val="Normal"/>
        <w:widowControl w:val="false"/>
        <w:spacing w:lineRule="auto" w:line="276"/>
        <w:jc w:val="both"/>
        <w:rPr>
          <w:sz w:val="24"/>
          <w:szCs w:val="24"/>
        </w:rPr>
      </w:pPr>
      <w:r>
        <w:rPr>
          <w:sz w:val="24"/>
          <w:szCs w:val="24"/>
        </w:rPr>
        <w:tab/>
        <w:t>_____________________________________, portador (a) da Carteira de Identidade R.G. nº. ______________ - SSP/_____ e do CPF/MF nº. ________________, represen</w:t>
        <w:softHyphen/>
        <w:t>tante da empresa ____________________________________, CNPJ/MF nº _______________________, solicitamos na condição de MICROEMPRESA/EMPRESA DE PEQUENO PORTE, quando da sua participação na licitação, modalidade Pregão Eletrônico Nº. **/20** seja dado o tratamento diferenciado concedido a essas em</w:t>
        <w:softHyphen/>
        <w:t xml:space="preserve">presas com base nos artigos 42 a 45 da Lei Complementar nº. 123/2006. </w:t>
      </w:r>
    </w:p>
    <w:p>
      <w:pPr>
        <w:pStyle w:val="Normal"/>
        <w:widowControl w:val="false"/>
        <w:spacing w:lineRule="auto" w:line="276"/>
        <w:ind w:firstLine="708"/>
        <w:jc w:val="both"/>
        <w:rPr>
          <w:sz w:val="24"/>
          <w:szCs w:val="24"/>
        </w:rPr>
      </w:pPr>
      <w:r>
        <w:rPr>
          <w:sz w:val="24"/>
          <w:szCs w:val="24"/>
        </w:rPr>
        <w:t xml:space="preserve">Declaramos ainda, que não existe qualquer impedimento entre os previstos nos incisos do § 4º do artigo 3º da Lei Complementar Federal nº. 123/2006. </w:t>
      </w:r>
    </w:p>
    <w:p>
      <w:pPr>
        <w:pStyle w:val="Normal"/>
        <w:widowControl w:val="false"/>
        <w:spacing w:lineRule="auto" w:line="276"/>
        <w:ind w:firstLine="708"/>
        <w:jc w:val="both"/>
        <w:rPr>
          <w:b/>
          <w:sz w:val="24"/>
          <w:szCs w:val="24"/>
        </w:rPr>
      </w:pPr>
      <w:r>
        <w:rPr>
          <w:b/>
          <w:sz w:val="24"/>
          <w:szCs w:val="24"/>
        </w:rPr>
        <w:t>Como prova da referida condição, apresentamos em documento anexo, CERTIDÃO emi</w:t>
        <w:softHyphen/>
        <w:t>tida pela Junta Comercial para comprovação da condição de Microempresa ou Em</w:t>
        <w:softHyphen/>
        <w:t xml:space="preserve">presa de Pequeno Porte. </w:t>
      </w:r>
    </w:p>
    <w:p>
      <w:pPr>
        <w:pStyle w:val="Normal"/>
        <w:widowControl w:val="false"/>
        <w:spacing w:lineRule="auto" w:line="276"/>
        <w:jc w:val="both"/>
        <w:rPr>
          <w:sz w:val="24"/>
          <w:szCs w:val="24"/>
        </w:rPr>
      </w:pPr>
      <w:r>
        <w:rPr>
          <w:sz w:val="24"/>
          <w:szCs w:val="24"/>
        </w:rPr>
      </w:r>
    </w:p>
    <w:p>
      <w:pPr>
        <w:pStyle w:val="Normal"/>
        <w:widowControl w:val="false"/>
        <w:tabs>
          <w:tab w:val="clear" w:pos="708"/>
          <w:tab w:val="left" w:pos="4054" w:leader="none"/>
          <w:tab w:val="center" w:pos="4819" w:leader="none"/>
        </w:tabs>
        <w:spacing w:lineRule="auto" w:line="276"/>
        <w:jc w:val="center"/>
        <w:rPr>
          <w:sz w:val="24"/>
          <w:szCs w:val="24"/>
        </w:rPr>
      </w:pPr>
      <w:r>
        <w:rPr>
          <w:sz w:val="24"/>
          <w:szCs w:val="24"/>
        </w:rPr>
        <w:t>Local e data</w:t>
      </w:r>
    </w:p>
    <w:p>
      <w:pPr>
        <w:pStyle w:val="Normal"/>
        <w:widowControl w:val="false"/>
        <w:spacing w:lineRule="auto" w:line="276"/>
        <w:jc w:val="center"/>
        <w:rPr>
          <w:sz w:val="24"/>
          <w:szCs w:val="24"/>
        </w:rPr>
      </w:pPr>
      <w:r>
        <w:rPr>
          <w:sz w:val="24"/>
          <w:szCs w:val="24"/>
        </w:rPr>
      </w:r>
    </w:p>
    <w:p>
      <w:pPr>
        <w:pStyle w:val="Normal"/>
        <w:widowControl w:val="false"/>
        <w:spacing w:lineRule="auto" w:line="276"/>
        <w:jc w:val="center"/>
        <w:rPr>
          <w:sz w:val="24"/>
          <w:szCs w:val="24"/>
        </w:rPr>
      </w:pPr>
      <w:r>
        <w:rPr>
          <w:sz w:val="24"/>
          <w:szCs w:val="24"/>
        </w:rPr>
      </w:r>
    </w:p>
    <w:p>
      <w:pPr>
        <w:pStyle w:val="Normal"/>
        <w:widowControl w:val="false"/>
        <w:spacing w:lineRule="auto" w:line="276"/>
        <w:jc w:val="center"/>
        <w:rPr>
          <w:sz w:val="24"/>
          <w:szCs w:val="24"/>
        </w:rPr>
      </w:pPr>
      <w:r>
        <w:rPr>
          <w:sz w:val="24"/>
          <w:szCs w:val="24"/>
        </w:rPr>
        <w:t>_____________________________________</w:t>
      </w:r>
    </w:p>
    <w:p>
      <w:pPr>
        <w:pStyle w:val="Normal"/>
        <w:widowControl w:val="false"/>
        <w:tabs>
          <w:tab w:val="clear" w:pos="708"/>
          <w:tab w:val="left" w:pos="2335" w:leader="none"/>
          <w:tab w:val="center" w:pos="4819" w:leader="none"/>
        </w:tabs>
        <w:spacing w:lineRule="auto" w:line="276"/>
        <w:jc w:val="center"/>
        <w:rPr>
          <w:sz w:val="24"/>
          <w:szCs w:val="24"/>
        </w:rPr>
      </w:pPr>
      <w:r>
        <w:rPr>
          <w:sz w:val="24"/>
          <w:szCs w:val="24"/>
        </w:rPr>
        <w:t>Assinatura do representante legal sob carimbo</w:t>
      </w:r>
    </w:p>
    <w:p>
      <w:pPr>
        <w:pStyle w:val="Normal"/>
        <w:widowControl w:val="false"/>
        <w:spacing w:lineRule="auto" w:line="276"/>
        <w:jc w:val="center"/>
        <w:rPr>
          <w:sz w:val="24"/>
          <w:szCs w:val="24"/>
        </w:rPr>
      </w:pPr>
      <w:r>
        <w:rPr>
          <w:sz w:val="24"/>
          <w:szCs w:val="24"/>
        </w:rPr>
        <w:t>RG:</w:t>
      </w:r>
    </w:p>
    <w:p>
      <w:pPr>
        <w:pStyle w:val="Normal"/>
        <w:widowControl w:val="false"/>
        <w:spacing w:lineRule="auto" w:line="276"/>
        <w:jc w:val="center"/>
        <w:rPr>
          <w:sz w:val="24"/>
          <w:szCs w:val="24"/>
        </w:rPr>
      </w:pPr>
      <w:r>
        <w:rPr>
          <w:sz w:val="24"/>
          <w:szCs w:val="24"/>
        </w:rPr>
        <w:t>CPF:</w:t>
      </w:r>
    </w:p>
    <w:p>
      <w:pPr>
        <w:pStyle w:val="Normal"/>
        <w:widowControl w:val="false"/>
        <w:spacing w:lineRule="auto" w:line="276"/>
        <w:jc w:val="center"/>
        <w:rPr>
          <w:sz w:val="24"/>
          <w:szCs w:val="24"/>
        </w:rPr>
      </w:pPr>
      <w:r>
        <w:rPr>
          <w:sz w:val="24"/>
          <w:szCs w:val="24"/>
        </w:rPr>
        <w:t>CNPJ/MF da empresa</w:t>
      </w:r>
    </w:p>
    <w:p>
      <w:pPr>
        <w:pStyle w:val="Normal"/>
        <w:widowControl w:val="false"/>
        <w:spacing w:lineRule="auto" w:line="276"/>
        <w:jc w:val="both"/>
        <w:rPr>
          <w:sz w:val="24"/>
          <w:szCs w:val="24"/>
        </w:rPr>
      </w:pPr>
      <w:r>
        <w:rPr>
          <w:sz w:val="24"/>
          <w:szCs w:val="24"/>
        </w:rPr>
      </w:r>
    </w:p>
    <w:p>
      <w:pPr>
        <w:pStyle w:val="Normal"/>
        <w:widowControl w:val="false"/>
        <w:spacing w:lineRule="auto" w:line="276"/>
        <w:jc w:val="both"/>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rPr>
          <w:b/>
          <w:sz w:val="24"/>
          <w:szCs w:val="24"/>
        </w:rPr>
      </w:pPr>
      <w:r>
        <w:rPr>
          <w:b/>
          <w:sz w:val="24"/>
          <w:szCs w:val="24"/>
        </w:rPr>
      </w:r>
    </w:p>
    <w:p>
      <w:pPr>
        <w:pStyle w:val="Normal"/>
        <w:widowControl w:val="false"/>
        <w:spacing w:lineRule="auto" w:line="276"/>
        <w:rPr>
          <w:b/>
          <w:sz w:val="24"/>
          <w:szCs w:val="24"/>
        </w:rPr>
      </w:pPr>
      <w:r>
        <w:rPr>
          <w:b/>
          <w:sz w:val="24"/>
          <w:szCs w:val="24"/>
        </w:rPr>
      </w:r>
    </w:p>
    <w:p>
      <w:pPr>
        <w:pStyle w:val="Normal"/>
        <w:widowControl w:val="false"/>
        <w:spacing w:lineRule="auto" w:line="276"/>
        <w:jc w:val="center"/>
        <w:rPr>
          <w:b/>
          <w:sz w:val="24"/>
          <w:szCs w:val="24"/>
        </w:rPr>
      </w:pPr>
      <w:r>
        <w:rPr>
          <w:b/>
          <w:sz w:val="24"/>
          <w:szCs w:val="24"/>
        </w:rPr>
        <w:t>ANEXO VI - MODELO RECIBO RETIRADA EDITAL</w:t>
      </w:r>
    </w:p>
    <w:p>
      <w:pPr>
        <w:pStyle w:val="Normal"/>
        <w:widowControl w:val="false"/>
        <w:spacing w:lineRule="auto" w:line="276"/>
        <w:jc w:val="center"/>
        <w:rPr>
          <w:sz w:val="24"/>
          <w:szCs w:val="24"/>
        </w:rPr>
      </w:pPr>
      <w:r>
        <w:rPr>
          <w:sz w:val="24"/>
          <w:szCs w:val="24"/>
        </w:rPr>
      </w:r>
    </w:p>
    <w:p>
      <w:pPr>
        <w:pStyle w:val="Normal"/>
        <w:widowControl w:val="false"/>
        <w:spacing w:lineRule="auto" w:line="276"/>
        <w:jc w:val="both"/>
        <w:rPr>
          <w:b/>
          <w:bCs/>
          <w:sz w:val="24"/>
          <w:szCs w:val="24"/>
        </w:rPr>
      </w:pPr>
      <w:r>
        <w:rPr>
          <w:sz w:val="24"/>
          <w:szCs w:val="24"/>
        </w:rPr>
        <w:t xml:space="preserve">Quando da retirada do Edital enviar recibo, </w:t>
      </w:r>
      <w:r>
        <w:rPr>
          <w:b/>
          <w:sz w:val="24"/>
          <w:szCs w:val="24"/>
        </w:rPr>
        <w:t>com todos os campos</w:t>
      </w:r>
      <w:r>
        <w:rPr>
          <w:sz w:val="24"/>
          <w:szCs w:val="24"/>
        </w:rPr>
        <w:t xml:space="preserve"> </w:t>
      </w:r>
      <w:r>
        <w:rPr>
          <w:b/>
          <w:sz w:val="24"/>
          <w:szCs w:val="24"/>
        </w:rPr>
        <w:t>completamente preenchidos, não manuscrito, ou seja, digitado ou datilografado</w:t>
      </w:r>
      <w:r>
        <w:rPr>
          <w:sz w:val="24"/>
          <w:szCs w:val="24"/>
        </w:rPr>
        <w:t xml:space="preserve">, via </w:t>
      </w:r>
      <w:r>
        <w:rPr>
          <w:b/>
          <w:sz w:val="24"/>
          <w:szCs w:val="24"/>
        </w:rPr>
        <w:t>e-mail</w:t>
      </w:r>
      <w:r>
        <w:rPr>
          <w:sz w:val="24"/>
          <w:szCs w:val="24"/>
        </w:rPr>
        <w:t xml:space="preserve">: </w:t>
      </w:r>
      <w:hyperlink r:id="rId20">
        <w:r>
          <w:rPr>
            <w:rStyle w:val="Hyperlink"/>
            <w:sz w:val="24"/>
            <w:szCs w:val="24"/>
          </w:rPr>
          <w:t>licitacao@cromt.org.br</w:t>
        </w:r>
      </w:hyperlink>
      <w:r>
        <w:rPr>
          <w:sz w:val="24"/>
          <w:szCs w:val="24"/>
        </w:rPr>
        <w:t xml:space="preserve">, </w:t>
      </w:r>
      <w:r>
        <w:rPr>
          <w:b/>
          <w:bCs/>
          <w:sz w:val="24"/>
          <w:szCs w:val="24"/>
        </w:rPr>
        <w:t>para cadastro.</w:t>
      </w:r>
    </w:p>
    <w:tbl>
      <w:tblPr>
        <w:tblW w:w="9639" w:type="dxa"/>
        <w:jc w:val="left"/>
        <w:tblInd w:w="145" w:type="dxa"/>
        <w:tblLayout w:type="fixed"/>
        <w:tblCellMar>
          <w:top w:w="0" w:type="dxa"/>
          <w:left w:w="70" w:type="dxa"/>
          <w:bottom w:w="0" w:type="dxa"/>
          <w:right w:w="70" w:type="dxa"/>
        </w:tblCellMar>
        <w:tblLook w:firstRow="0" w:noVBand="0" w:lastRow="0" w:firstColumn="0" w:lastColumn="0" w:noHBand="0" w:val="0000"/>
      </w:tblPr>
      <w:tblGrid>
        <w:gridCol w:w="1628"/>
        <w:gridCol w:w="2190"/>
        <w:gridCol w:w="1982"/>
        <w:gridCol w:w="2130"/>
        <w:gridCol w:w="1708"/>
      </w:tblGrid>
      <w:tr>
        <w:trPr>
          <w:trHeight w:val="330" w:hRule="atLeast"/>
          <w:cantSplit w:val="true"/>
        </w:trPr>
        <w:tc>
          <w:tcPr>
            <w:tcW w:w="9638"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b/>
                <w:bCs/>
                <w:i/>
                <w:i/>
                <w:sz w:val="24"/>
                <w:szCs w:val="24"/>
              </w:rPr>
            </w:pPr>
            <w:r>
              <w:rPr>
                <w:b/>
                <w:szCs w:val="24"/>
              </w:rPr>
              <w:t xml:space="preserve">PREGÃO ELETRÔNICO Nº </w:t>
            </w:r>
            <w:r>
              <w:rPr>
                <w:b/>
                <w:sz w:val="24"/>
                <w:szCs w:val="24"/>
              </w:rPr>
              <w:t>0002/2024</w:t>
            </w:r>
          </w:p>
        </w:tc>
      </w:tr>
      <w:tr>
        <w:trPr>
          <w:trHeight w:val="330" w:hRule="atLeast"/>
          <w:cantSplit w:val="true"/>
        </w:trPr>
        <w:tc>
          <w:tcPr>
            <w:tcW w:w="9638" w:type="dxa"/>
            <w:gridSpan w:val="5"/>
            <w:tcBorders>
              <w:top w:val="single" w:sz="4" w:space="0" w:color="000000"/>
              <w:left w:val="single" w:sz="4" w:space="0" w:color="000000"/>
              <w:bottom w:val="single" w:sz="4" w:space="0" w:color="000000"/>
              <w:right w:val="single" w:sz="4" w:space="0" w:color="000000"/>
            </w:tcBorders>
          </w:tcPr>
          <w:p>
            <w:pPr>
              <w:pStyle w:val="BodyText"/>
              <w:tabs>
                <w:tab w:val="clear" w:pos="708"/>
                <w:tab w:val="left" w:pos="3686" w:leader="none"/>
              </w:tabs>
              <w:spacing w:lineRule="auto" w:line="276"/>
              <w:jc w:val="both"/>
              <w:rPr>
                <w:szCs w:val="24"/>
              </w:rPr>
            </w:pPr>
            <w:r>
              <w:rPr>
                <w:b/>
                <w:szCs w:val="24"/>
              </w:rPr>
              <w:t>OBJETO:</w:t>
            </w:r>
            <w:r>
              <w:rPr>
                <w:szCs w:val="24"/>
              </w:rPr>
              <w:t xml:space="preserve"> </w:t>
            </w:r>
            <w:r>
              <w:rPr>
                <w:b/>
                <w:szCs w:val="24"/>
              </w:rPr>
              <w:t>***************.</w:t>
            </w:r>
          </w:p>
        </w:tc>
      </w:tr>
      <w:tr>
        <w:trPr>
          <w:trHeight w:val="835" w:hRule="atLeast"/>
          <w:cantSplit w:val="true"/>
        </w:trPr>
        <w:tc>
          <w:tcPr>
            <w:tcW w:w="9638"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b/>
                <w:sz w:val="24"/>
                <w:szCs w:val="24"/>
              </w:rPr>
            </w:pPr>
            <w:r>
              <w:rPr>
                <w:b/>
                <w:sz w:val="24"/>
                <w:szCs w:val="24"/>
              </w:rPr>
              <w:t>Razão Social:</w:t>
            </w:r>
          </w:p>
          <w:p>
            <w:pPr>
              <w:pStyle w:val="Normal"/>
              <w:widowControl w:val="false"/>
              <w:spacing w:lineRule="auto" w:line="276"/>
              <w:jc w:val="both"/>
              <w:rPr>
                <w:b/>
                <w:sz w:val="24"/>
                <w:szCs w:val="24"/>
              </w:rPr>
            </w:pPr>
            <w:r>
              <w:rPr>
                <w:b/>
                <w:sz w:val="24"/>
                <w:szCs w:val="24"/>
              </w:rPr>
              <w:t>Nome Fantasia:</w:t>
            </w:r>
          </w:p>
          <w:p>
            <w:pPr>
              <w:pStyle w:val="Normal"/>
              <w:widowControl w:val="false"/>
              <w:spacing w:lineRule="auto" w:line="276"/>
              <w:jc w:val="both"/>
              <w:rPr>
                <w:b/>
                <w:sz w:val="24"/>
                <w:szCs w:val="24"/>
              </w:rPr>
            </w:pPr>
            <w:r>
              <w:rPr>
                <w:b/>
                <w:sz w:val="24"/>
                <w:szCs w:val="24"/>
              </w:rPr>
              <w:t>Ramo Atividade:</w:t>
            </w:r>
          </w:p>
          <w:p>
            <w:pPr>
              <w:pStyle w:val="Normal"/>
              <w:widowControl w:val="false"/>
              <w:spacing w:lineRule="auto" w:line="276"/>
              <w:jc w:val="both"/>
              <w:rPr>
                <w:b/>
                <w:sz w:val="24"/>
                <w:szCs w:val="24"/>
              </w:rPr>
            </w:pPr>
            <w:r>
              <w:rPr>
                <w:b/>
                <w:sz w:val="24"/>
                <w:szCs w:val="24"/>
              </w:rPr>
              <w:t>Natureza Jurídica: [ ] Ltda  [ ] Individual [ ] SA [ ] Outras</w:t>
            </w:r>
          </w:p>
          <w:p>
            <w:pPr>
              <w:pStyle w:val="Normal"/>
              <w:widowControl w:val="false"/>
              <w:spacing w:lineRule="auto" w:line="276"/>
              <w:jc w:val="both"/>
              <w:rPr>
                <w:b/>
                <w:sz w:val="24"/>
                <w:szCs w:val="24"/>
              </w:rPr>
            </w:pPr>
            <w:r>
              <w:rPr>
                <w:b/>
                <w:sz w:val="24"/>
                <w:szCs w:val="24"/>
              </w:rPr>
              <w:t>[  ] Não enquadrada como ME ou EPP</w:t>
            </w:r>
          </w:p>
          <w:p>
            <w:pPr>
              <w:pStyle w:val="Normal"/>
              <w:widowControl w:val="false"/>
              <w:spacing w:lineRule="auto" w:line="276"/>
              <w:jc w:val="both"/>
              <w:rPr>
                <w:b/>
                <w:sz w:val="24"/>
                <w:szCs w:val="24"/>
              </w:rPr>
            </w:pPr>
            <w:r>
              <w:rPr>
                <w:b/>
                <w:sz w:val="24"/>
                <w:szCs w:val="24"/>
              </w:rPr>
              <w:t>[  ] Micro Empresa [  ] Empresa Pequeno Porte [  ] Optante pelo Simples</w:t>
            </w:r>
          </w:p>
        </w:tc>
      </w:tr>
      <w:tr>
        <w:trPr>
          <w:trHeight w:val="2054" w:hRule="atLeast"/>
          <w:cantSplit w:val="true"/>
        </w:trPr>
        <w:tc>
          <w:tcPr>
            <w:tcW w:w="9638"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b/>
                <w:sz w:val="24"/>
                <w:szCs w:val="24"/>
              </w:rPr>
            </w:pPr>
            <w:r>
              <w:rPr>
                <w:b/>
                <w:sz w:val="24"/>
                <w:szCs w:val="24"/>
              </w:rPr>
              <w:t>CNPJ nº:                                                Insc. Estadual nº:</w:t>
            </w:r>
          </w:p>
          <w:p>
            <w:pPr>
              <w:pStyle w:val="Normal"/>
              <w:widowControl w:val="false"/>
              <w:spacing w:lineRule="auto" w:line="276"/>
              <w:jc w:val="both"/>
              <w:rPr>
                <w:b/>
                <w:sz w:val="24"/>
                <w:szCs w:val="24"/>
              </w:rPr>
            </w:pPr>
            <w:r>
              <w:rPr>
                <w:b/>
                <w:sz w:val="24"/>
                <w:szCs w:val="24"/>
              </w:rPr>
              <w:t>Valor Capital Social:</w:t>
            </w:r>
          </w:p>
          <w:p>
            <w:pPr>
              <w:pStyle w:val="Normal"/>
              <w:widowControl w:val="false"/>
              <w:spacing w:lineRule="auto" w:line="276"/>
              <w:jc w:val="both"/>
              <w:rPr>
                <w:b/>
                <w:sz w:val="24"/>
                <w:szCs w:val="24"/>
              </w:rPr>
            </w:pPr>
            <w:r>
              <w:rPr>
                <w:b/>
                <w:sz w:val="24"/>
                <w:szCs w:val="24"/>
              </w:rPr>
              <w:t>Sócio:                                       CPF:                            Data de Registro na Junta:</w:t>
            </w:r>
          </w:p>
          <w:p>
            <w:pPr>
              <w:pStyle w:val="Normal"/>
              <w:widowControl w:val="false"/>
              <w:spacing w:lineRule="auto" w:line="276"/>
              <w:jc w:val="both"/>
              <w:rPr>
                <w:b/>
                <w:sz w:val="24"/>
                <w:szCs w:val="24"/>
              </w:rPr>
            </w:pPr>
            <w:r>
              <w:rPr>
                <w:b/>
                <w:sz w:val="24"/>
                <w:szCs w:val="24"/>
              </w:rPr>
              <w:t>Sócio:                                       CPF:                            Data de Registro na Junta:</w:t>
            </w:r>
          </w:p>
          <w:p>
            <w:pPr>
              <w:pStyle w:val="Normal"/>
              <w:widowControl w:val="false"/>
              <w:spacing w:lineRule="auto" w:line="276"/>
              <w:jc w:val="both"/>
              <w:rPr>
                <w:b/>
                <w:sz w:val="24"/>
                <w:szCs w:val="24"/>
              </w:rPr>
            </w:pPr>
            <w:r>
              <w:rPr>
                <w:b/>
                <w:sz w:val="24"/>
                <w:szCs w:val="24"/>
              </w:rPr>
              <w:t>Sócio:                                       CPF:                            Data de Registro na Junta:</w:t>
            </w:r>
          </w:p>
        </w:tc>
      </w:tr>
      <w:tr>
        <w:trPr>
          <w:trHeight w:val="484" w:hRule="atLeast"/>
          <w:cantSplit w:val="true"/>
        </w:trPr>
        <w:tc>
          <w:tcPr>
            <w:tcW w:w="9638"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b/>
                <w:sz w:val="24"/>
                <w:szCs w:val="24"/>
              </w:rPr>
            </w:pPr>
            <w:r>
              <w:rPr>
                <w:b/>
                <w:sz w:val="24"/>
                <w:szCs w:val="24"/>
              </w:rPr>
              <w:t>Endereço:</w:t>
            </w:r>
          </w:p>
          <w:p>
            <w:pPr>
              <w:pStyle w:val="Normal"/>
              <w:widowControl w:val="false"/>
              <w:spacing w:lineRule="auto" w:line="276"/>
              <w:jc w:val="both"/>
              <w:rPr>
                <w:b/>
                <w:sz w:val="24"/>
                <w:szCs w:val="24"/>
              </w:rPr>
            </w:pPr>
            <w:r>
              <w:rPr>
                <w:b/>
                <w:sz w:val="24"/>
                <w:szCs w:val="24"/>
              </w:rPr>
              <w:t>Bairro:</w:t>
            </w:r>
          </w:p>
          <w:p>
            <w:pPr>
              <w:pStyle w:val="Normal"/>
              <w:widowControl w:val="false"/>
              <w:spacing w:lineRule="auto" w:line="276"/>
              <w:jc w:val="both"/>
              <w:rPr>
                <w:b/>
                <w:sz w:val="24"/>
                <w:szCs w:val="24"/>
              </w:rPr>
            </w:pPr>
            <w:r>
              <w:rPr>
                <w:b/>
                <w:sz w:val="24"/>
                <w:szCs w:val="24"/>
              </w:rPr>
              <w:t>Cidade:                                                               Estado:                                CEP:</w:t>
            </w:r>
          </w:p>
        </w:tc>
      </w:tr>
      <w:tr>
        <w:trPr>
          <w:trHeight w:val="330" w:hRule="atLeast"/>
          <w:cantSplit w:val="true"/>
        </w:trPr>
        <w:tc>
          <w:tcPr>
            <w:tcW w:w="16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b/>
                <w:sz w:val="24"/>
                <w:szCs w:val="24"/>
              </w:rPr>
            </w:pPr>
            <w:r>
              <w:rPr>
                <w:b/>
                <w:sz w:val="24"/>
                <w:szCs w:val="24"/>
              </w:rPr>
              <w:t>Fone:</w:t>
            </w:r>
          </w:p>
          <w:p>
            <w:pPr>
              <w:pStyle w:val="Normal"/>
              <w:widowControl w:val="false"/>
              <w:spacing w:lineRule="auto" w:line="276"/>
              <w:jc w:val="both"/>
              <w:rPr>
                <w:b/>
                <w:sz w:val="24"/>
                <w:szCs w:val="24"/>
              </w:rPr>
            </w:pPr>
            <w:r>
              <w:rPr>
                <w:b/>
                <w:sz w:val="24"/>
                <w:szCs w:val="24"/>
              </w:rPr>
            </w:r>
          </w:p>
        </w:tc>
        <w:tc>
          <w:tcPr>
            <w:tcW w:w="21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b/>
                <w:sz w:val="24"/>
                <w:szCs w:val="24"/>
              </w:rPr>
            </w:pPr>
            <w:r>
              <w:rPr>
                <w:b/>
                <w:sz w:val="24"/>
                <w:szCs w:val="24"/>
              </w:rPr>
              <w:t>Fax:</w:t>
            </w:r>
          </w:p>
          <w:p>
            <w:pPr>
              <w:pStyle w:val="Normal"/>
              <w:widowControl w:val="false"/>
              <w:spacing w:lineRule="auto" w:line="276"/>
              <w:jc w:val="both"/>
              <w:rPr>
                <w:b/>
                <w:sz w:val="24"/>
                <w:szCs w:val="24"/>
              </w:rPr>
            </w:pPr>
            <w:r>
              <w:rPr>
                <w:b/>
                <w:sz w:val="24"/>
                <w:szCs w:val="24"/>
              </w:rPr>
            </w:r>
          </w:p>
        </w:tc>
        <w:tc>
          <w:tcPr>
            <w:tcW w:w="411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b/>
                <w:sz w:val="24"/>
                <w:szCs w:val="24"/>
              </w:rPr>
            </w:pPr>
            <w:r>
              <w:rPr>
                <w:b/>
                <w:sz w:val="24"/>
                <w:szCs w:val="24"/>
              </w:rPr>
              <w:t>E-mail</w:t>
            </w:r>
          </w:p>
          <w:p>
            <w:pPr>
              <w:pStyle w:val="Normal"/>
              <w:widowControl w:val="false"/>
              <w:spacing w:lineRule="auto" w:line="276"/>
              <w:jc w:val="both"/>
              <w:rPr>
                <w:b/>
                <w:sz w:val="24"/>
                <w:szCs w:val="24"/>
              </w:rPr>
            </w:pPr>
            <w:r>
              <w:rPr>
                <w:b/>
                <w:sz w:val="24"/>
                <w:szCs w:val="24"/>
              </w:rPr>
            </w:r>
          </w:p>
        </w:tc>
        <w:tc>
          <w:tcPr>
            <w:tcW w:w="17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b/>
                <w:sz w:val="24"/>
                <w:szCs w:val="24"/>
              </w:rPr>
            </w:pPr>
            <w:r>
              <w:rPr>
                <w:b/>
                <w:sz w:val="24"/>
                <w:szCs w:val="24"/>
              </w:rPr>
              <w:t>Data:</w:t>
            </w:r>
          </w:p>
          <w:p>
            <w:pPr>
              <w:pStyle w:val="Normal"/>
              <w:widowControl w:val="false"/>
              <w:spacing w:lineRule="auto" w:line="276"/>
              <w:jc w:val="both"/>
              <w:rPr>
                <w:b/>
                <w:sz w:val="24"/>
                <w:szCs w:val="24"/>
              </w:rPr>
            </w:pPr>
            <w:r>
              <w:rPr>
                <w:b/>
                <w:sz w:val="24"/>
                <w:szCs w:val="24"/>
              </w:rPr>
            </w:r>
          </w:p>
        </w:tc>
      </w:tr>
      <w:tr>
        <w:trPr>
          <w:trHeight w:val="751" w:hRule="atLeast"/>
          <w:cantSplit w:val="true"/>
        </w:trPr>
        <w:tc>
          <w:tcPr>
            <w:tcW w:w="5800"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b/>
                <w:sz w:val="24"/>
                <w:szCs w:val="24"/>
              </w:rPr>
            </w:pPr>
            <w:r>
              <w:rPr>
                <w:b/>
                <w:sz w:val="24"/>
                <w:szCs w:val="24"/>
              </w:rPr>
              <w:t>Nome do Responsável para contato:</w:t>
            </w:r>
          </w:p>
          <w:p>
            <w:pPr>
              <w:pStyle w:val="Normal"/>
              <w:widowControl w:val="false"/>
              <w:spacing w:lineRule="auto" w:line="276"/>
              <w:jc w:val="both"/>
              <w:rPr>
                <w:b/>
                <w:sz w:val="24"/>
                <w:szCs w:val="24"/>
              </w:rPr>
            </w:pPr>
            <w:r>
              <w:rPr>
                <w:b/>
                <w:sz w:val="24"/>
                <w:szCs w:val="24"/>
              </w:rPr>
            </w:r>
          </w:p>
        </w:tc>
        <w:tc>
          <w:tcPr>
            <w:tcW w:w="383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b/>
                <w:sz w:val="24"/>
                <w:szCs w:val="24"/>
              </w:rPr>
            </w:pPr>
            <w:r>
              <w:rPr>
                <w:b/>
                <w:sz w:val="24"/>
                <w:szCs w:val="24"/>
              </w:rPr>
              <w:t>Rubrica</w:t>
            </w:r>
          </w:p>
        </w:tc>
      </w:tr>
    </w:tbl>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jc w:val="center"/>
        <w:rPr>
          <w:b/>
          <w:sz w:val="24"/>
          <w:szCs w:val="24"/>
        </w:rPr>
      </w:pPr>
      <w:r>
        <w:rPr>
          <w:b/>
          <w:sz w:val="24"/>
          <w:szCs w:val="24"/>
        </w:rPr>
      </w:r>
    </w:p>
    <w:p>
      <w:pPr>
        <w:pStyle w:val="Normal"/>
        <w:widowControl w:val="false"/>
        <w:spacing w:lineRule="auto" w:line="276"/>
        <w:rPr>
          <w:b/>
          <w:sz w:val="24"/>
          <w:szCs w:val="24"/>
        </w:rPr>
      </w:pPr>
      <w:r>
        <w:rPr>
          <w:b/>
          <w:sz w:val="24"/>
          <w:szCs w:val="24"/>
        </w:rPr>
      </w:r>
    </w:p>
    <w:p>
      <w:pPr>
        <w:pStyle w:val="Title"/>
        <w:tabs>
          <w:tab w:val="clear" w:pos="708"/>
          <w:tab w:val="left" w:pos="-1985" w:leader="none"/>
        </w:tabs>
        <w:spacing w:lineRule="auto" w:line="276"/>
        <w:rPr>
          <w:sz w:val="24"/>
          <w:szCs w:val="24"/>
        </w:rPr>
      </w:pPr>
      <w:r>
        <w:rPr>
          <w:sz w:val="24"/>
          <w:szCs w:val="24"/>
        </w:rPr>
        <w:t>ANEXO VII - MODELO DE ATESTADO (OU DECLARAÇÃO) DE CAPACIDADE TÉCNICA</w:t>
      </w:r>
    </w:p>
    <w:p>
      <w:pPr>
        <w:pStyle w:val="Normal"/>
        <w:widowControl w:val="false"/>
        <w:spacing w:lineRule="auto" w:line="276"/>
        <w:jc w:val="center"/>
        <w:rPr>
          <w:b/>
          <w:sz w:val="24"/>
          <w:szCs w:val="24"/>
        </w:rPr>
      </w:pPr>
      <w:r>
        <w:rPr>
          <w:b/>
          <w:sz w:val="24"/>
          <w:szCs w:val="24"/>
        </w:rPr>
        <w:t>(Papel timbrado da empresa)</w:t>
      </w:r>
    </w:p>
    <w:p>
      <w:pPr>
        <w:pStyle w:val="Title"/>
        <w:tabs>
          <w:tab w:val="clear" w:pos="708"/>
          <w:tab w:val="left" w:pos="-1985" w:leader="none"/>
        </w:tabs>
        <w:spacing w:lineRule="auto" w:line="276"/>
        <w:rPr>
          <w:sz w:val="24"/>
          <w:szCs w:val="24"/>
        </w:rPr>
      </w:pPr>
      <w:r>
        <w:rPr>
          <w:sz w:val="24"/>
          <w:szCs w:val="24"/>
        </w:rPr>
      </w:r>
    </w:p>
    <w:p>
      <w:pPr>
        <w:pStyle w:val="Title"/>
        <w:tabs>
          <w:tab w:val="clear" w:pos="708"/>
          <w:tab w:val="left" w:pos="-1985" w:leader="none"/>
        </w:tabs>
        <w:spacing w:lineRule="auto" w:line="276"/>
        <w:rPr>
          <w:sz w:val="24"/>
          <w:szCs w:val="24"/>
        </w:rPr>
      </w:pPr>
      <w:r>
        <w:rPr>
          <w:sz w:val="24"/>
          <w:szCs w:val="24"/>
        </w:rPr>
      </w:r>
    </w:p>
    <w:p>
      <w:pPr>
        <w:pStyle w:val="Title"/>
        <w:tabs>
          <w:tab w:val="clear" w:pos="708"/>
          <w:tab w:val="left" w:pos="-1985" w:leader="none"/>
        </w:tabs>
        <w:spacing w:lineRule="auto" w:line="276"/>
        <w:rPr>
          <w:sz w:val="24"/>
          <w:szCs w:val="24"/>
        </w:rPr>
      </w:pPr>
      <w:r>
        <w:rPr>
          <w:sz w:val="24"/>
          <w:szCs w:val="24"/>
        </w:rPr>
      </w:r>
    </w:p>
    <w:p>
      <w:pPr>
        <w:pStyle w:val="Normal"/>
        <w:widowControl w:val="false"/>
        <w:spacing w:lineRule="auto" w:line="276"/>
        <w:rPr>
          <w:sz w:val="24"/>
          <w:szCs w:val="24"/>
        </w:rPr>
      </w:pPr>
      <w:r>
        <w:rPr>
          <w:sz w:val="24"/>
          <w:szCs w:val="24"/>
        </w:rPr>
      </w:r>
    </w:p>
    <w:p>
      <w:pPr>
        <w:pStyle w:val="Normal"/>
        <w:widowControl w:val="false"/>
        <w:spacing w:lineRule="auto" w:line="276"/>
        <w:rPr>
          <w:sz w:val="24"/>
          <w:szCs w:val="24"/>
        </w:rPr>
      </w:pPr>
      <w:r>
        <w:rPr>
          <w:sz w:val="24"/>
          <w:szCs w:val="24"/>
        </w:rPr>
      </w:r>
    </w:p>
    <w:p>
      <w:pPr>
        <w:pStyle w:val="Normal"/>
        <w:widowControl w:val="false"/>
        <w:spacing w:lineRule="auto" w:line="276"/>
        <w:rPr>
          <w:sz w:val="24"/>
          <w:szCs w:val="24"/>
        </w:rPr>
      </w:pPr>
      <w:r>
        <w:rPr>
          <w:sz w:val="24"/>
          <w:szCs w:val="24"/>
        </w:rPr>
      </w:r>
    </w:p>
    <w:p>
      <w:pPr>
        <w:pStyle w:val="Normal"/>
        <w:widowControl w:val="false"/>
        <w:spacing w:lineRule="auto" w:line="276"/>
        <w:rPr>
          <w:sz w:val="24"/>
          <w:szCs w:val="24"/>
        </w:rPr>
      </w:pPr>
      <w:r>
        <w:rPr>
          <w:sz w:val="24"/>
          <w:szCs w:val="24"/>
        </w:rPr>
      </w:r>
    </w:p>
    <w:p>
      <w:pPr>
        <w:pStyle w:val="Normal"/>
        <w:widowControl w:val="false"/>
        <w:spacing w:lineRule="auto" w:line="276"/>
        <w:ind w:firstLine="1701"/>
        <w:jc w:val="both"/>
        <w:rPr>
          <w:sz w:val="24"/>
          <w:szCs w:val="24"/>
        </w:rPr>
      </w:pPr>
      <w:r>
        <w:rPr>
          <w:sz w:val="24"/>
          <w:szCs w:val="24"/>
        </w:rPr>
        <w:t>Atestamos (ou declaramos) que a empresa _______________________, inscrita no CNPJ (MF) nº ____________________, inscrição estadual nº _____________, estabelecida no (a) __________________________, executa (ou executou) serviços de __________________________ para este órgão (ou para esta empresa).</w:t>
      </w:r>
    </w:p>
    <w:p>
      <w:pPr>
        <w:pStyle w:val="Normal"/>
        <w:widowControl w:val="false"/>
        <w:spacing w:lineRule="auto" w:line="276"/>
        <w:ind w:firstLine="1701"/>
        <w:jc w:val="both"/>
        <w:rPr>
          <w:sz w:val="24"/>
          <w:szCs w:val="24"/>
        </w:rPr>
      </w:pPr>
      <w:r>
        <w:rPr>
          <w:sz w:val="24"/>
          <w:szCs w:val="24"/>
        </w:rPr>
      </w:r>
    </w:p>
    <w:p>
      <w:pPr>
        <w:pStyle w:val="Normal"/>
        <w:widowControl w:val="false"/>
        <w:spacing w:lineRule="auto" w:line="276"/>
        <w:ind w:firstLine="1701"/>
        <w:jc w:val="both"/>
        <w:rPr>
          <w:sz w:val="24"/>
          <w:szCs w:val="24"/>
        </w:rPr>
      </w:pPr>
      <w:r>
        <w:rPr>
          <w:sz w:val="24"/>
          <w:szCs w:val="24"/>
        </w:rPr>
        <w:t>Atestamos (ou declaramos), ainda, que os compromissos assumidos pela empresa foram cumpridos satisfatoriamente, nada constando em nossos arquivos que o desabone comercial ou tecnicamente.</w:t>
      </w:r>
    </w:p>
    <w:p>
      <w:pPr>
        <w:pStyle w:val="Normal"/>
        <w:widowControl w:val="false"/>
        <w:spacing w:lineRule="auto" w:line="276"/>
        <w:ind w:firstLine="1701"/>
        <w:jc w:val="both"/>
        <w:rPr>
          <w:sz w:val="24"/>
          <w:szCs w:val="24"/>
        </w:rPr>
      </w:pPr>
      <w:r>
        <w:rPr>
          <w:sz w:val="24"/>
          <w:szCs w:val="24"/>
        </w:rPr>
      </w:r>
    </w:p>
    <w:p>
      <w:pPr>
        <w:pStyle w:val="Normal"/>
        <w:widowControl w:val="false"/>
        <w:spacing w:lineRule="auto" w:line="276"/>
        <w:ind w:firstLine="1701"/>
        <w:jc w:val="both"/>
        <w:rPr>
          <w:sz w:val="24"/>
          <w:szCs w:val="24"/>
        </w:rPr>
      </w:pPr>
      <w:r>
        <w:rPr>
          <w:sz w:val="24"/>
          <w:szCs w:val="24"/>
        </w:rPr>
      </w:r>
    </w:p>
    <w:p>
      <w:pPr>
        <w:pStyle w:val="Normal"/>
        <w:widowControl w:val="false"/>
        <w:spacing w:lineRule="auto" w:line="276"/>
        <w:ind w:firstLine="1701"/>
        <w:jc w:val="both"/>
        <w:rPr>
          <w:sz w:val="24"/>
          <w:szCs w:val="24"/>
        </w:rPr>
      </w:pPr>
      <w:r>
        <w:rPr>
          <w:sz w:val="24"/>
          <w:szCs w:val="24"/>
        </w:rPr>
      </w:r>
    </w:p>
    <w:p>
      <w:pPr>
        <w:pStyle w:val="Normal"/>
        <w:widowControl w:val="false"/>
        <w:spacing w:lineRule="auto" w:line="276"/>
        <w:jc w:val="center"/>
        <w:rPr>
          <w:sz w:val="24"/>
          <w:szCs w:val="24"/>
        </w:rPr>
      </w:pPr>
      <w:r>
        <w:rPr>
          <w:sz w:val="24"/>
          <w:szCs w:val="24"/>
        </w:rPr>
        <w:t>Local e data</w:t>
      </w:r>
    </w:p>
    <w:p>
      <w:pPr>
        <w:pStyle w:val="Normal"/>
        <w:widowControl w:val="false"/>
        <w:spacing w:lineRule="auto" w:line="276"/>
        <w:jc w:val="center"/>
        <w:rPr>
          <w:sz w:val="24"/>
          <w:szCs w:val="24"/>
        </w:rPr>
      </w:pPr>
      <w:r>
        <w:rPr>
          <w:sz w:val="24"/>
          <w:szCs w:val="24"/>
        </w:rPr>
      </w:r>
    </w:p>
    <w:p>
      <w:pPr>
        <w:pStyle w:val="Normal"/>
        <w:widowControl w:val="false"/>
        <w:spacing w:lineRule="auto" w:line="276"/>
        <w:jc w:val="center"/>
        <w:rPr>
          <w:sz w:val="24"/>
          <w:szCs w:val="24"/>
        </w:rPr>
      </w:pPr>
      <w:r>
        <w:rPr>
          <w:sz w:val="24"/>
          <w:szCs w:val="24"/>
        </w:rPr>
      </w:r>
    </w:p>
    <w:p>
      <w:pPr>
        <w:pStyle w:val="Normal"/>
        <w:widowControl w:val="false"/>
        <w:spacing w:lineRule="auto" w:line="276"/>
        <w:jc w:val="center"/>
        <w:rPr>
          <w:sz w:val="24"/>
          <w:szCs w:val="24"/>
        </w:rPr>
      </w:pPr>
      <w:r>
        <w:rPr>
          <w:sz w:val="24"/>
          <w:szCs w:val="24"/>
        </w:rPr>
      </w:r>
    </w:p>
    <w:p>
      <w:pPr>
        <w:pStyle w:val="Normal"/>
        <w:widowControl w:val="false"/>
        <w:spacing w:lineRule="auto" w:line="276"/>
        <w:jc w:val="center"/>
        <w:rPr>
          <w:sz w:val="24"/>
          <w:szCs w:val="24"/>
        </w:rPr>
      </w:pPr>
      <w:r>
        <w:rPr>
          <w:sz w:val="24"/>
          <w:szCs w:val="24"/>
        </w:rPr>
      </w:r>
    </w:p>
    <w:p>
      <w:pPr>
        <w:pStyle w:val="Normal"/>
        <w:widowControl w:val="false"/>
        <w:spacing w:lineRule="auto" w:line="276"/>
        <w:jc w:val="center"/>
        <w:rPr>
          <w:sz w:val="24"/>
          <w:szCs w:val="24"/>
        </w:rPr>
      </w:pPr>
      <w:r>
        <w:rPr>
          <w:sz w:val="24"/>
          <w:szCs w:val="24"/>
        </w:rPr>
      </w:r>
    </w:p>
    <w:p>
      <w:pPr>
        <w:pStyle w:val="Normal"/>
        <w:widowControl w:val="false"/>
        <w:spacing w:lineRule="auto" w:line="276"/>
        <w:jc w:val="center"/>
        <w:rPr>
          <w:sz w:val="24"/>
          <w:szCs w:val="24"/>
        </w:rPr>
      </w:pPr>
      <w:r>
        <w:rPr>
          <w:sz w:val="24"/>
          <w:szCs w:val="24"/>
        </w:rPr>
        <w:t>______________________________________________</w:t>
      </w:r>
    </w:p>
    <w:p>
      <w:pPr>
        <w:pStyle w:val="Normal"/>
        <w:widowControl w:val="false"/>
        <w:spacing w:lineRule="auto" w:line="276"/>
        <w:jc w:val="center"/>
        <w:rPr>
          <w:sz w:val="24"/>
          <w:szCs w:val="24"/>
        </w:rPr>
      </w:pPr>
      <w:r>
        <w:rPr>
          <w:sz w:val="24"/>
          <w:szCs w:val="24"/>
        </w:rPr>
        <w:t>Assinatura e carimbo do emissor</w:t>
      </w:r>
    </w:p>
    <w:p>
      <w:pPr>
        <w:pStyle w:val="Normal"/>
        <w:widowControl w:val="false"/>
        <w:spacing w:lineRule="auto" w:line="276"/>
        <w:jc w:val="center"/>
        <w:rPr>
          <w:sz w:val="24"/>
          <w:szCs w:val="24"/>
        </w:rPr>
      </w:pPr>
      <w:r>
        <w:rPr>
          <w:sz w:val="24"/>
          <w:szCs w:val="24"/>
        </w:rPr>
      </w:r>
    </w:p>
    <w:p>
      <w:pPr>
        <w:pStyle w:val="Normal"/>
        <w:widowControl w:val="false"/>
        <w:spacing w:lineRule="auto" w:line="276"/>
        <w:jc w:val="center"/>
        <w:rPr>
          <w:sz w:val="24"/>
          <w:szCs w:val="24"/>
        </w:rPr>
      </w:pPr>
      <w:r>
        <w:rPr>
          <w:sz w:val="24"/>
          <w:szCs w:val="24"/>
        </w:rPr>
      </w:r>
    </w:p>
    <w:p>
      <w:pPr>
        <w:pStyle w:val="Normal"/>
        <w:widowControl w:val="false"/>
        <w:spacing w:lineRule="auto" w:line="276"/>
        <w:jc w:val="center"/>
        <w:rPr>
          <w:sz w:val="24"/>
          <w:szCs w:val="24"/>
        </w:rPr>
      </w:pPr>
      <w:r>
        <w:rPr>
          <w:sz w:val="24"/>
          <w:szCs w:val="24"/>
        </w:rPr>
      </w:r>
    </w:p>
    <w:p>
      <w:pPr>
        <w:pStyle w:val="Normal"/>
        <w:widowControl w:val="false"/>
        <w:spacing w:lineRule="auto" w:line="276"/>
        <w:rPr>
          <w:sz w:val="24"/>
          <w:szCs w:val="24"/>
        </w:rPr>
      </w:pPr>
      <w:r>
        <w:rPr>
          <w:sz w:val="24"/>
          <w:szCs w:val="24"/>
        </w:rPr>
      </w:r>
    </w:p>
    <w:p>
      <w:pPr>
        <w:pStyle w:val="Normal"/>
        <w:widowControl w:val="false"/>
        <w:spacing w:lineRule="auto" w:line="276"/>
        <w:rPr>
          <w:sz w:val="24"/>
          <w:szCs w:val="24"/>
        </w:rPr>
      </w:pPr>
      <w:r>
        <w:rPr>
          <w:sz w:val="24"/>
          <w:szCs w:val="24"/>
        </w:rPr>
      </w:r>
    </w:p>
    <w:p>
      <w:pPr>
        <w:pStyle w:val="Normal"/>
        <w:widowControl w:val="false"/>
        <w:spacing w:lineRule="auto" w:line="276"/>
        <w:rPr>
          <w:sz w:val="24"/>
          <w:szCs w:val="24"/>
        </w:rPr>
      </w:pPr>
      <w:r>
        <w:rPr>
          <w:sz w:val="24"/>
          <w:szCs w:val="24"/>
        </w:rPr>
      </w:r>
    </w:p>
    <w:p>
      <w:pPr>
        <w:pStyle w:val="Normal"/>
        <w:widowControl w:val="false"/>
        <w:spacing w:lineRule="auto" w:line="276"/>
        <w:rPr>
          <w:sz w:val="24"/>
          <w:szCs w:val="24"/>
        </w:rPr>
      </w:pPr>
      <w:r>
        <w:rPr>
          <w:sz w:val="24"/>
          <w:szCs w:val="24"/>
        </w:rPr>
      </w:r>
    </w:p>
    <w:p>
      <w:pPr>
        <w:pStyle w:val="Normal"/>
        <w:widowControl w:val="false"/>
        <w:spacing w:lineRule="auto" w:line="276"/>
        <w:rPr>
          <w:sz w:val="24"/>
          <w:szCs w:val="24"/>
        </w:rPr>
      </w:pPr>
      <w:r>
        <w:rPr>
          <w:sz w:val="24"/>
          <w:szCs w:val="24"/>
        </w:rPr>
        <w:t>Observação:</w:t>
      </w:r>
    </w:p>
    <w:p>
      <w:pPr>
        <w:pStyle w:val="ListParagraph"/>
        <w:widowControl w:val="false"/>
        <w:numPr>
          <w:ilvl w:val="0"/>
          <w:numId w:val="28"/>
        </w:numPr>
        <w:tabs>
          <w:tab w:val="clear" w:pos="708"/>
          <w:tab w:val="left" w:pos="426" w:leader="none"/>
        </w:tabs>
        <w:spacing w:lineRule="auto" w:line="276"/>
        <w:rPr>
          <w:sz w:val="24"/>
          <w:szCs w:val="24"/>
        </w:rPr>
      </w:pPr>
      <w:r>
        <w:rPr>
          <w:sz w:val="24"/>
          <w:szCs w:val="24"/>
        </w:rPr>
        <w:t>Este atestado (ou declaração) deverá ser emitido em papel que identifique o órgão (ou empresa) emissor.</w:t>
      </w:r>
    </w:p>
    <w:p>
      <w:pPr>
        <w:pStyle w:val="Normal"/>
        <w:widowControl w:val="false"/>
        <w:tabs>
          <w:tab w:val="clear" w:pos="708"/>
          <w:tab w:val="left" w:pos="426" w:leader="none"/>
        </w:tabs>
        <w:spacing w:lineRule="auto" w:line="276"/>
        <w:ind w:left="360"/>
        <w:rPr>
          <w:b/>
          <w:sz w:val="24"/>
          <w:szCs w:val="24"/>
        </w:rPr>
      </w:pPr>
      <w:r>
        <w:rPr>
          <w:b/>
          <w:sz w:val="24"/>
          <w:szCs w:val="24"/>
        </w:rPr>
      </w:r>
    </w:p>
    <w:p>
      <w:pPr>
        <w:pStyle w:val="Normal"/>
        <w:widowControl w:val="false"/>
        <w:tabs>
          <w:tab w:val="clear" w:pos="708"/>
          <w:tab w:val="left" w:pos="426" w:leader="none"/>
        </w:tabs>
        <w:spacing w:lineRule="auto" w:line="276"/>
        <w:ind w:left="360"/>
        <w:rPr>
          <w:b/>
          <w:sz w:val="24"/>
          <w:szCs w:val="24"/>
        </w:rPr>
      </w:pPr>
      <w:r>
        <w:rPr>
          <w:b/>
          <w:sz w:val="24"/>
          <w:szCs w:val="24"/>
        </w:rPr>
      </w:r>
    </w:p>
    <w:p>
      <w:pPr>
        <w:pStyle w:val="Normal"/>
        <w:widowControl w:val="false"/>
        <w:tabs>
          <w:tab w:val="clear" w:pos="708"/>
          <w:tab w:val="left" w:pos="426" w:leader="none"/>
        </w:tabs>
        <w:spacing w:lineRule="auto" w:line="276"/>
        <w:ind w:left="360"/>
        <w:rPr>
          <w:b/>
          <w:sz w:val="24"/>
          <w:szCs w:val="24"/>
        </w:rPr>
      </w:pPr>
      <w:r>
        <w:rPr>
          <w:b/>
          <w:sz w:val="24"/>
          <w:szCs w:val="24"/>
        </w:rPr>
      </w:r>
    </w:p>
    <w:p>
      <w:pPr>
        <w:pStyle w:val="Normal"/>
        <w:widowControl w:val="false"/>
        <w:tabs>
          <w:tab w:val="clear" w:pos="708"/>
          <w:tab w:val="left" w:pos="426" w:leader="none"/>
        </w:tabs>
        <w:spacing w:lineRule="auto" w:line="276"/>
        <w:ind w:left="360"/>
        <w:rPr>
          <w:b/>
          <w:sz w:val="24"/>
          <w:szCs w:val="24"/>
        </w:rPr>
      </w:pPr>
      <w:r>
        <w:rPr>
          <w:b/>
          <w:sz w:val="24"/>
          <w:szCs w:val="24"/>
        </w:rPr>
      </w:r>
    </w:p>
    <w:p>
      <w:pPr>
        <w:pStyle w:val="Normal"/>
        <w:widowControl w:val="false"/>
        <w:tabs>
          <w:tab w:val="clear" w:pos="708"/>
          <w:tab w:val="left" w:pos="426" w:leader="none"/>
        </w:tabs>
        <w:spacing w:lineRule="auto" w:line="276"/>
        <w:ind w:left="360"/>
        <w:rPr>
          <w:b/>
          <w:sz w:val="24"/>
          <w:szCs w:val="24"/>
        </w:rPr>
      </w:pPr>
      <w:r>
        <w:rPr>
          <w:b/>
          <w:sz w:val="24"/>
          <w:szCs w:val="24"/>
        </w:rPr>
      </w:r>
    </w:p>
    <w:p>
      <w:pPr>
        <w:pStyle w:val="Normal"/>
        <w:rPr>
          <w:sz w:val="24"/>
          <w:szCs w:val="24"/>
        </w:rPr>
      </w:pPr>
      <w:r>
        <w:rPr>
          <w:sz w:val="24"/>
          <w:szCs w:val="24"/>
        </w:rPr>
      </w:r>
    </w:p>
    <w:p>
      <w:pPr>
        <w:pStyle w:val="Title"/>
        <w:tabs>
          <w:tab w:val="clear" w:pos="708"/>
          <w:tab w:val="left" w:pos="-1985" w:leader="none"/>
        </w:tabs>
        <w:spacing w:lineRule="auto" w:line="276"/>
        <w:rPr>
          <w:sz w:val="24"/>
          <w:szCs w:val="24"/>
        </w:rPr>
      </w:pPr>
      <w:r>
        <w:rPr>
          <w:sz w:val="24"/>
          <w:szCs w:val="24"/>
        </w:rPr>
        <w:t>ANEXO VIII – MINUTA DE CONTRATO</w:t>
      </w:r>
    </w:p>
    <w:p>
      <w:pPr>
        <w:pStyle w:val="Normal"/>
        <w:jc w:val="center"/>
        <w:rPr>
          <w:sz w:val="24"/>
          <w:szCs w:val="24"/>
        </w:rPr>
      </w:pPr>
      <w:r>
        <w:rPr>
          <w:sz w:val="24"/>
          <w:szCs w:val="24"/>
        </w:rPr>
      </w:r>
    </w:p>
    <w:p>
      <w:pPr>
        <w:pStyle w:val="Normal"/>
        <w:pBdr>
          <w:top w:val="single" w:sz="18" w:space="1" w:color="000000"/>
          <w:left w:val="single" w:sz="18" w:space="4" w:color="000000"/>
          <w:bottom w:val="single" w:sz="18" w:space="1" w:color="000000"/>
          <w:right w:val="single" w:sz="18" w:space="4" w:color="000000"/>
        </w:pBdr>
        <w:shd w:val="clear" w:color="auto" w:fill="F2F2F2" w:themeFill="background1" w:themeFillShade="f2"/>
        <w:spacing w:lineRule="auto" w:line="276"/>
        <w:jc w:val="center"/>
        <w:rPr>
          <w:b/>
          <w:bCs/>
          <w:i/>
          <w:i/>
          <w:sz w:val="24"/>
          <w:szCs w:val="24"/>
        </w:rPr>
      </w:pPr>
      <w:r>
        <w:rPr>
          <w:b/>
          <w:sz w:val="24"/>
          <w:szCs w:val="24"/>
        </w:rPr>
        <w:t>CONTRATO ADMINISTRATIVO N° XX/202X</w:t>
      </w:r>
    </w:p>
    <w:p>
      <w:pPr>
        <w:pStyle w:val="Normal"/>
        <w:spacing w:lineRule="auto" w:line="276"/>
        <w:rPr>
          <w:sz w:val="24"/>
          <w:szCs w:val="24"/>
        </w:rPr>
      </w:pPr>
      <w:r>
        <w:rPr>
          <w:sz w:val="24"/>
          <w:szCs w:val="24"/>
        </w:rPr>
      </w:r>
    </w:p>
    <w:p>
      <w:pPr>
        <w:pStyle w:val="Standard"/>
        <w:spacing w:lineRule="auto" w:line="276"/>
        <w:ind w:right="-15"/>
        <w:jc w:val="center"/>
        <w:rPr>
          <w:rFonts w:ascii="Times New Roman" w:hAnsi="Times New Roman" w:cs="Times New Roman"/>
          <w:b/>
          <w:bCs/>
          <w:sz w:val="24"/>
        </w:rPr>
      </w:pPr>
      <w:r>
        <w:rPr>
          <w:rFonts w:cs="Times New Roman" w:ascii="Times New Roman" w:hAnsi="Times New Roman"/>
          <w:b/>
          <w:bCs/>
          <w:sz w:val="24"/>
        </w:rPr>
        <w:t>PREGÃO ELETRÔNICO N.º XX/202X</w:t>
      </w:r>
    </w:p>
    <w:p>
      <w:pPr>
        <w:pStyle w:val="BodyTextIndent"/>
        <w:shd w:val="clear" w:color="auto" w:fill="FFFFFF"/>
        <w:spacing w:lineRule="auto" w:line="276"/>
        <w:ind w:left="0"/>
        <w:rPr>
          <w:b/>
          <w:szCs w:val="24"/>
          <w:highlight w:val="darkGray"/>
        </w:rPr>
      </w:pPr>
      <w:r>
        <w:rPr>
          <w:b/>
          <w:szCs w:val="24"/>
          <w:highlight w:val="darkGray"/>
        </w:rPr>
      </w:r>
    </w:p>
    <w:p>
      <w:pPr>
        <w:pStyle w:val="BodyText"/>
        <w:spacing w:lineRule="auto" w:line="276"/>
        <w:ind w:left="5387" w:right="-1"/>
        <w:jc w:val="both"/>
        <w:rPr>
          <w:b/>
          <w:sz w:val="24"/>
          <w:szCs w:val="24"/>
        </w:rPr>
      </w:pPr>
      <w:r>
        <w:rPr>
          <w:b/>
          <w:sz w:val="24"/>
          <w:szCs w:val="24"/>
        </w:rPr>
        <w:t xml:space="preserve">TERMO DE CONTRATO PARA CONTRATAÇÃO DE LOCAÇÃO DE VEÍCULO, QUE FAZEM ENTRE SI A UNIÃO, POR INTERMÉDIO DO </w:t>
      </w:r>
      <w:r>
        <w:rPr>
          <w:b/>
          <w:sz w:val="24"/>
        </w:rPr>
        <w:t>CONSELHO</w:t>
      </w:r>
      <w:r>
        <w:rPr>
          <w:b/>
          <w:sz w:val="24"/>
          <w:szCs w:val="24"/>
        </w:rPr>
        <w:t xml:space="preserve"> REGIONAL DE ODONTOLOGIA DE MATO GROSSO E A EMPRESA</w:t>
      </w:r>
      <w:r>
        <w:rPr>
          <w:sz w:val="24"/>
          <w:szCs w:val="24"/>
        </w:rPr>
        <w:t> </w:t>
      </w:r>
      <w:r>
        <w:rPr>
          <w:b/>
          <w:bCs w:val="false"/>
          <w:sz w:val="24"/>
          <w:szCs w:val="24"/>
        </w:rPr>
        <w:t>XXXXXXXXXXXXXXXXXXXX.</w:t>
      </w:r>
    </w:p>
    <w:p>
      <w:pPr>
        <w:pStyle w:val="BodyText"/>
        <w:spacing w:lineRule="auto" w:line="276"/>
        <w:ind w:left="5387" w:right="-1"/>
        <w:jc w:val="both"/>
        <w:rPr>
          <w:b/>
          <w:szCs w:val="24"/>
        </w:rPr>
      </w:pPr>
      <w:r>
        <w:rPr>
          <w:b/>
          <w:szCs w:val="24"/>
        </w:rPr>
      </w:r>
    </w:p>
    <w:p>
      <w:pPr>
        <w:pStyle w:val="Normal"/>
        <w:jc w:val="both"/>
        <w:rPr>
          <w:sz w:val="24"/>
          <w:szCs w:val="24"/>
        </w:rPr>
      </w:pPr>
      <w:r>
        <w:rPr>
          <w:sz w:val="24"/>
          <w:szCs w:val="24"/>
        </w:rPr>
        <w:t xml:space="preserve">O </w:t>
      </w:r>
      <w:r>
        <w:rPr>
          <w:b/>
          <w:sz w:val="24"/>
          <w:szCs w:val="24"/>
        </w:rPr>
        <w:t xml:space="preserve">CONSELHO REGIONAL DE ODONTOLOGIA – CRO/MT, </w:t>
      </w:r>
      <w:r>
        <w:rPr>
          <w:sz w:val="24"/>
          <w:szCs w:val="24"/>
        </w:rPr>
        <w:t xml:space="preserve">autarquia federal, inscrita no CNPJ/MF nº 03.482.916/0001-13, com sede administrativa na Rua 05, Quadra 12, Lote 07, Setor A, Centro Político Administrativo, Cuiabá/MT, CEP 78.049-035, e-mail </w:t>
      </w:r>
      <w:hyperlink r:id="rId21">
        <w:r>
          <w:rPr>
            <w:rStyle w:val="Hyperlink"/>
            <w:sz w:val="24"/>
            <w:szCs w:val="24"/>
          </w:rPr>
          <w:t>cromt@cromt.org.br</w:t>
        </w:r>
      </w:hyperlink>
      <w:r>
        <w:rPr>
          <w:sz w:val="24"/>
          <w:szCs w:val="24"/>
        </w:rPr>
        <w:t xml:space="preserve">, neste ato representado por sua Presidente </w:t>
      </w:r>
      <w:r>
        <w:rPr>
          <w:b/>
          <w:bCs/>
          <w:sz w:val="24"/>
          <w:szCs w:val="24"/>
          <w:u w:val="thick"/>
        </w:rPr>
        <w:t>Sra. __________________________,</w:t>
      </w:r>
      <w:r>
        <w:rPr>
          <w:bCs/>
          <w:sz w:val="24"/>
          <w:szCs w:val="24"/>
        </w:rPr>
        <w:t xml:space="preserve"> ______, ________, _________, </w:t>
      </w:r>
      <w:r>
        <w:rPr>
          <w:sz w:val="24"/>
          <w:szCs w:val="24"/>
        </w:rPr>
        <w:t xml:space="preserve">portador da cédula de identidade nº ______________ e do CPF/MF nº _____________________, Tesoureiro </w:t>
      </w:r>
      <w:r>
        <w:rPr>
          <w:b/>
          <w:bCs/>
          <w:sz w:val="24"/>
          <w:szCs w:val="24"/>
          <w:u w:val="single"/>
        </w:rPr>
        <w:t>Sr. _______________</w:t>
      </w:r>
      <w:r>
        <w:rPr>
          <w:sz w:val="24"/>
          <w:szCs w:val="24"/>
        </w:rPr>
        <w:t>, _________, inscrito no CRO/MT sob o nº_________, portador do RG nº ___________ e do CPF/MF nº _____________</w:t>
      </w:r>
      <w:r>
        <w:rPr>
          <w:bCs/>
          <w:sz w:val="24"/>
          <w:szCs w:val="24"/>
        </w:rPr>
        <w:t xml:space="preserve"> </w:t>
      </w:r>
      <w:r>
        <w:rPr>
          <w:sz w:val="24"/>
          <w:szCs w:val="24"/>
        </w:rPr>
        <w:t xml:space="preserve">e a Secretária </w:t>
      </w:r>
      <w:r>
        <w:rPr>
          <w:b/>
          <w:sz w:val="24"/>
          <w:szCs w:val="24"/>
          <w:u w:val="single"/>
        </w:rPr>
        <w:t>Sra. _______________-</w:t>
      </w:r>
      <w:r>
        <w:rPr>
          <w:b/>
          <w:bCs/>
          <w:sz w:val="24"/>
          <w:szCs w:val="24"/>
          <w:u w:val="single"/>
        </w:rPr>
        <w:t>, ____</w:t>
      </w:r>
      <w:r>
        <w:rPr>
          <w:bCs/>
          <w:sz w:val="24"/>
          <w:szCs w:val="24"/>
        </w:rPr>
        <w:t xml:space="preserve">, _____, </w:t>
      </w:r>
      <w:r>
        <w:rPr>
          <w:sz w:val="24"/>
          <w:szCs w:val="24"/>
        </w:rPr>
        <w:t xml:space="preserve">portadora da cédula de identidade nº _________ e do CPF/MF nº ___________, doravante denominado simplesmente </w:t>
      </w:r>
      <w:r>
        <w:rPr>
          <w:b/>
          <w:sz w:val="24"/>
          <w:szCs w:val="24"/>
        </w:rPr>
        <w:t>CONTRATANTE</w:t>
      </w:r>
      <w:r>
        <w:rPr>
          <w:sz w:val="24"/>
          <w:szCs w:val="24"/>
        </w:rPr>
        <w:t xml:space="preserve">, e do outro lado, </w:t>
      </w:r>
      <w:r>
        <w:rPr>
          <w:color w:val="000000"/>
          <w:sz w:val="24"/>
          <w:szCs w:val="24"/>
        </w:rPr>
        <w:t>a empresa </w:t>
      </w:r>
      <w:r>
        <w:rPr>
          <w:rStyle w:val="CorpodetextoChar"/>
          <w:b/>
          <w:sz w:val="24"/>
          <w:szCs w:val="24"/>
        </w:rPr>
        <w:t>______________________</w:t>
      </w:r>
      <w:r>
        <w:rPr>
          <w:rStyle w:val="CorpodetextoChar"/>
          <w:sz w:val="24"/>
          <w:szCs w:val="24"/>
        </w:rPr>
        <w:t xml:space="preserve">, inscrita no CNPJ sob nº __________________, sediada na _________________________, Cep: _____________, representada neste ato pelo procurador </w:t>
      </w:r>
      <w:r>
        <w:rPr>
          <w:rStyle w:val="CorpodetextoChar"/>
          <w:b/>
          <w:sz w:val="24"/>
          <w:szCs w:val="24"/>
          <w:u w:val="single"/>
        </w:rPr>
        <w:t>Sr. ___________</w:t>
      </w:r>
      <w:r>
        <w:rPr>
          <w:rStyle w:val="CorpodetextoChar"/>
          <w:b/>
          <w:sz w:val="24"/>
          <w:szCs w:val="24"/>
        </w:rPr>
        <w:t>,</w:t>
      </w:r>
      <w:r>
        <w:rPr>
          <w:rStyle w:val="CorpodetextoChar"/>
          <w:sz w:val="24"/>
          <w:szCs w:val="24"/>
        </w:rPr>
        <w:t xml:space="preserve"> ____________________, CPF nº __________________ e RG nº. _______________ RS</w:t>
      </w:r>
      <w:r>
        <w:rPr>
          <w:sz w:val="24"/>
          <w:szCs w:val="24"/>
          <w:shd w:fill="FFFFFF" w:val="clear"/>
        </w:rPr>
        <w:t xml:space="preserve">, </w:t>
      </w:r>
      <w:r>
        <w:rPr>
          <w:sz w:val="24"/>
          <w:szCs w:val="24"/>
        </w:rPr>
        <w:t xml:space="preserve">doravante denominado </w:t>
      </w:r>
      <w:r>
        <w:rPr>
          <w:b/>
          <w:sz w:val="24"/>
          <w:szCs w:val="24"/>
        </w:rPr>
        <w:t>CONTRATADO</w:t>
      </w:r>
      <w:r>
        <w:rPr>
          <w:sz w:val="24"/>
          <w:szCs w:val="24"/>
        </w:rPr>
        <w:t xml:space="preserve">, em observância às disposições da Lei nº 14.133/2021, e suas alterações posteriores, resolvem celebrar o presente Termo de Contrato, decorrente da </w:t>
      </w:r>
      <w:r>
        <w:rPr>
          <w:b/>
          <w:sz w:val="24"/>
          <w:szCs w:val="24"/>
        </w:rPr>
        <w:t>Pregão Eletrônico N.º XX/2024</w:t>
      </w:r>
      <w:r>
        <w:rPr>
          <w:sz w:val="24"/>
          <w:szCs w:val="24"/>
        </w:rPr>
        <w:t>, mediante as cláusulas e condições a seguir enunciadas.</w:t>
      </w:r>
    </w:p>
    <w:p>
      <w:pPr>
        <w:pStyle w:val="Normal"/>
        <w:shd w:val="clear" w:color="auto" w:fill="FFFFFF"/>
        <w:spacing w:lineRule="auto" w:line="276"/>
        <w:jc w:val="both"/>
        <w:rPr>
          <w:sz w:val="24"/>
          <w:szCs w:val="24"/>
        </w:rPr>
      </w:pPr>
      <w:r>
        <w:rPr>
          <w:sz w:val="24"/>
          <w:szCs w:val="24"/>
        </w:rPr>
      </w:r>
    </w:p>
    <w:p>
      <w:pPr>
        <w:pStyle w:val="BodyText"/>
        <w:numPr>
          <w:ilvl w:val="0"/>
          <w:numId w:val="23"/>
        </w:numPr>
        <w:shd w:val="clear" w:color="auto" w:fill="D9D9D9"/>
        <w:spacing w:lineRule="auto" w:line="276"/>
        <w:ind w:hanging="0" w:left="0"/>
        <w:jc w:val="both"/>
        <w:rPr>
          <w:b/>
          <w:bCs w:val="false"/>
          <w:sz w:val="24"/>
          <w:szCs w:val="24"/>
        </w:rPr>
      </w:pPr>
      <w:r>
        <w:rPr>
          <w:b/>
          <w:bCs w:val="false"/>
          <w:sz w:val="24"/>
          <w:szCs w:val="24"/>
        </w:rPr>
        <w:t>CLÁUSULA PRIMEIRA – OBJETO</w:t>
      </w:r>
    </w:p>
    <w:p>
      <w:pPr>
        <w:pStyle w:val="ListParagraph"/>
        <w:spacing w:lineRule="auto" w:line="276"/>
        <w:ind w:left="0"/>
        <w:jc w:val="both"/>
        <w:rPr>
          <w:b/>
          <w:sz w:val="24"/>
          <w:szCs w:val="24"/>
        </w:rPr>
      </w:pPr>
      <w:r>
        <w:rPr>
          <w:b/>
          <w:sz w:val="24"/>
          <w:szCs w:val="24"/>
        </w:rPr>
      </w:r>
    </w:p>
    <w:p>
      <w:pPr>
        <w:pStyle w:val="ListParagraph"/>
        <w:numPr>
          <w:ilvl w:val="1"/>
          <w:numId w:val="24"/>
        </w:numPr>
        <w:spacing w:lineRule="auto" w:line="276"/>
        <w:jc w:val="both"/>
        <w:rPr>
          <w:bCs/>
          <w:sz w:val="24"/>
          <w:szCs w:val="24"/>
        </w:rPr>
      </w:pPr>
      <w:r>
        <w:rPr>
          <w:bCs/>
          <w:sz w:val="24"/>
          <w:szCs w:val="24"/>
        </w:rPr>
        <w:t>O objeto do presente Termo de Contrato é Contratação de Empresa para prestação de serviços de emissão de passagens aérea e rodoviárias conforme especificações e as condições estabelecidas neste contrato.</w:t>
      </w:r>
    </w:p>
    <w:p>
      <w:pPr>
        <w:pStyle w:val="ListParagraph"/>
        <w:spacing w:lineRule="auto" w:line="276"/>
        <w:ind w:left="0"/>
        <w:jc w:val="both"/>
        <w:rPr>
          <w:bCs/>
          <w:sz w:val="24"/>
          <w:szCs w:val="24"/>
        </w:rPr>
      </w:pPr>
      <w:r>
        <w:rPr>
          <w:bCs/>
          <w:sz w:val="24"/>
          <w:szCs w:val="24"/>
        </w:rPr>
        <w:t>1.2. Este Termo de Contrato vincula-se ao Edital do Pregão, identificado no preâmbulo e à proposta vencedora, independentemente de transcrição.</w:t>
      </w:r>
    </w:p>
    <w:p>
      <w:pPr>
        <w:pStyle w:val="ListParagraph"/>
        <w:spacing w:lineRule="auto" w:line="276"/>
        <w:ind w:left="0"/>
        <w:jc w:val="both"/>
        <w:rPr>
          <w:bCs/>
          <w:sz w:val="24"/>
          <w:szCs w:val="24"/>
        </w:rPr>
      </w:pPr>
      <w:r>
        <w:rPr>
          <w:bCs/>
          <w:sz w:val="24"/>
          <w:szCs w:val="24"/>
        </w:rPr>
        <w:t>1.3. Discriminação do objeto:</w:t>
      </w:r>
    </w:p>
    <w:tbl>
      <w:tblPr>
        <w:tblW w:w="10196"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697"/>
        <w:gridCol w:w="4365"/>
        <w:gridCol w:w="1219"/>
        <w:gridCol w:w="2045"/>
        <w:gridCol w:w="1870"/>
      </w:tblGrid>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b/>
                <w:sz w:val="24"/>
                <w:szCs w:val="24"/>
              </w:rPr>
            </w:pPr>
            <w:r>
              <w:rPr>
                <w:b/>
                <w:sz w:val="24"/>
                <w:szCs w:val="24"/>
              </w:rPr>
              <w:t>Item</w:t>
            </w:r>
          </w:p>
        </w:tc>
        <w:tc>
          <w:tcPr>
            <w:tcW w:w="436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b/>
                <w:sz w:val="24"/>
                <w:szCs w:val="24"/>
              </w:rPr>
            </w:pPr>
            <w:r>
              <w:rPr>
                <w:b/>
                <w:sz w:val="24"/>
                <w:szCs w:val="24"/>
              </w:rPr>
              <w:t>Serviço</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b/>
                <w:sz w:val="24"/>
                <w:szCs w:val="24"/>
              </w:rPr>
            </w:pPr>
            <w:r>
              <w:rPr>
                <w:b/>
                <w:sz w:val="24"/>
                <w:szCs w:val="24"/>
              </w:rPr>
              <w:t>Unidade</w:t>
            </w:r>
          </w:p>
        </w:tc>
        <w:tc>
          <w:tcPr>
            <w:tcW w:w="204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b/>
                <w:sz w:val="24"/>
                <w:szCs w:val="24"/>
              </w:rPr>
            </w:pPr>
            <w:r>
              <w:rPr>
                <w:b/>
                <w:sz w:val="24"/>
                <w:szCs w:val="24"/>
              </w:rPr>
              <w:t>Valor Est.</w:t>
            </w:r>
          </w:p>
        </w:tc>
        <w:tc>
          <w:tcPr>
            <w:tcW w:w="187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b/>
                <w:sz w:val="24"/>
                <w:szCs w:val="24"/>
              </w:rPr>
            </w:pPr>
            <w:r>
              <w:rPr>
                <w:b/>
                <w:sz w:val="24"/>
                <w:szCs w:val="24"/>
              </w:rPr>
              <w:t>Taxa de Desconto</w:t>
            </w:r>
          </w:p>
        </w:tc>
      </w:tr>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01</w:t>
            </w:r>
          </w:p>
        </w:tc>
        <w:tc>
          <w:tcPr>
            <w:tcW w:w="4365" w:type="dxa"/>
            <w:tcBorders>
              <w:top w:val="single" w:sz="4" w:space="0" w:color="000000"/>
              <w:left w:val="single" w:sz="4" w:space="0" w:color="000000"/>
              <w:bottom w:val="single" w:sz="4" w:space="0" w:color="000000"/>
              <w:right w:val="single" w:sz="4" w:space="0" w:color="000000"/>
            </w:tcBorders>
          </w:tcPr>
          <w:p>
            <w:pPr>
              <w:pStyle w:val="Normal"/>
              <w:spacing w:before="0" w:after="46"/>
              <w:jc w:val="both"/>
              <w:rPr>
                <w:sz w:val="22"/>
              </w:rPr>
            </w:pPr>
            <w:r>
              <w:rPr>
                <w:color w:val="000000"/>
                <w:sz w:val="24"/>
                <w:szCs w:val="24"/>
              </w:rPr>
              <w:t xml:space="preserve">Os serviços de emissão de </w:t>
            </w:r>
            <w:r>
              <w:rPr>
                <w:color w:val="000000"/>
                <w:sz w:val="24"/>
              </w:rPr>
              <w:t>passagens aérea devem incluir:</w:t>
            </w:r>
          </w:p>
          <w:p>
            <w:pPr>
              <w:pStyle w:val="Normal"/>
              <w:spacing w:before="0" w:after="46"/>
              <w:jc w:val="both"/>
              <w:rPr>
                <w:sz w:val="22"/>
              </w:rPr>
            </w:pPr>
            <w:r>
              <w:rPr>
                <w:color w:val="000000"/>
                <w:sz w:val="24"/>
              </w:rPr>
              <w:t>* Passagem aérea e rodoviária (ida e volta);</w:t>
            </w:r>
          </w:p>
          <w:p>
            <w:pPr>
              <w:pStyle w:val="Normal"/>
              <w:spacing w:before="0" w:after="46"/>
              <w:jc w:val="both"/>
              <w:rPr>
                <w:sz w:val="22"/>
              </w:rPr>
            </w:pPr>
            <w:r>
              <w:rPr>
                <w:color w:val="000000"/>
                <w:sz w:val="24"/>
              </w:rPr>
              <w:t xml:space="preserve">* </w:t>
            </w:r>
            <w:r>
              <w:rPr>
                <w:color w:val="000009"/>
                <w:sz w:val="24"/>
              </w:rPr>
              <w:t>Reemissão de bilhete de passagem aérea não utilizado (não voado), quando necessário;</w:t>
            </w:r>
          </w:p>
          <w:p>
            <w:pPr>
              <w:pStyle w:val="Normal"/>
              <w:jc w:val="both"/>
              <w:rPr>
                <w:sz w:val="22"/>
              </w:rPr>
            </w:pPr>
            <w:r>
              <w:rPr>
                <w:color w:val="000009"/>
                <w:sz w:val="24"/>
              </w:rPr>
              <w:t>*Alteração de horário ou data do bilhete de passagem aérea emitido, quando necessário;</w:t>
            </w:r>
          </w:p>
          <w:p>
            <w:pPr>
              <w:pStyle w:val="Normal"/>
              <w:jc w:val="both"/>
              <w:rPr>
                <w:sz w:val="22"/>
              </w:rPr>
            </w:pPr>
            <w:r>
              <w:rPr>
                <w:color w:val="000009"/>
                <w:sz w:val="24"/>
              </w:rPr>
              <w:t>* Cancelamento de bilhete de passagem aérea, por Ordem;</w:t>
            </w:r>
          </w:p>
          <w:p>
            <w:pPr>
              <w:pStyle w:val="Normal"/>
              <w:spacing w:before="0" w:after="160"/>
              <w:jc w:val="both"/>
              <w:rPr>
                <w:sz w:val="22"/>
              </w:rPr>
            </w:pPr>
            <w:r>
              <w:rPr>
                <w:b/>
                <w:bCs/>
                <w:color w:val="000009"/>
                <w:sz w:val="24"/>
              </w:rPr>
              <w:t>* O serviço de agenciamento para passagens aérea será pago para a agência contratada com base no valor total da passagem aérea subtraído do percentual fixo ofertado pelo contratado sobre o valor de uma passagem aérea ida e volta.</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Serviço/Mensal</w:t>
            </w:r>
          </w:p>
        </w:tc>
        <w:tc>
          <w:tcPr>
            <w:tcW w:w="2045"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R$ ---</w:t>
            </w:r>
          </w:p>
        </w:tc>
        <w:tc>
          <w:tcPr>
            <w:tcW w:w="1870"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R$ ---</w:t>
            </w:r>
          </w:p>
        </w:tc>
      </w:tr>
      <w:tr>
        <w:trPr/>
        <w:tc>
          <w:tcPr>
            <w:tcW w:w="697"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02</w:t>
            </w:r>
          </w:p>
        </w:tc>
        <w:tc>
          <w:tcPr>
            <w:tcW w:w="4365" w:type="dxa"/>
            <w:tcBorders>
              <w:top w:val="single" w:sz="4" w:space="0" w:color="000000"/>
              <w:left w:val="single" w:sz="4" w:space="0" w:color="000000"/>
              <w:bottom w:val="single" w:sz="4" w:space="0" w:color="000000"/>
              <w:right w:val="single" w:sz="4" w:space="0" w:color="000000"/>
            </w:tcBorders>
          </w:tcPr>
          <w:p>
            <w:pPr>
              <w:pStyle w:val="Normal"/>
              <w:spacing w:before="0" w:after="46"/>
              <w:jc w:val="both"/>
              <w:rPr>
                <w:color w:val="000000"/>
                <w:sz w:val="24"/>
                <w:szCs w:val="24"/>
              </w:rPr>
            </w:pPr>
            <w:r>
              <w:rPr>
                <w:color w:val="000000"/>
                <w:sz w:val="24"/>
                <w:szCs w:val="24"/>
              </w:rPr>
              <w:t>Os serviços de emissão de passagens rodoviárias devem incluir:</w:t>
            </w:r>
          </w:p>
          <w:p>
            <w:pPr>
              <w:pStyle w:val="Normal"/>
              <w:spacing w:before="0" w:after="46"/>
              <w:jc w:val="both"/>
              <w:rPr>
                <w:color w:val="000000"/>
                <w:sz w:val="24"/>
                <w:szCs w:val="24"/>
              </w:rPr>
            </w:pPr>
            <w:r>
              <w:rPr>
                <w:color w:val="000000"/>
                <w:sz w:val="24"/>
                <w:szCs w:val="24"/>
              </w:rPr>
              <w:t>* Passagem rodoviária (ida e volta);</w:t>
            </w:r>
          </w:p>
          <w:p>
            <w:pPr>
              <w:pStyle w:val="Normal"/>
              <w:spacing w:before="0" w:after="46"/>
              <w:jc w:val="both"/>
              <w:rPr>
                <w:color w:val="000000"/>
                <w:sz w:val="24"/>
                <w:szCs w:val="24"/>
              </w:rPr>
            </w:pPr>
            <w:r>
              <w:rPr>
                <w:color w:val="000000"/>
                <w:sz w:val="24"/>
                <w:szCs w:val="24"/>
              </w:rPr>
              <w:t>* Reemissão de bilhete de passagem não utilizado (não embarcado), quando necessário;</w:t>
            </w:r>
          </w:p>
          <w:p>
            <w:pPr>
              <w:pStyle w:val="Normal"/>
              <w:spacing w:before="0" w:after="46"/>
              <w:jc w:val="both"/>
              <w:rPr>
                <w:color w:val="000000"/>
                <w:sz w:val="24"/>
                <w:szCs w:val="24"/>
              </w:rPr>
            </w:pPr>
            <w:r>
              <w:rPr>
                <w:color w:val="000000"/>
                <w:sz w:val="24"/>
                <w:szCs w:val="24"/>
              </w:rPr>
              <w:t>*Alteração de horário ou data do bilhete de passagem emitido, quando necessário;</w:t>
            </w:r>
          </w:p>
          <w:p>
            <w:pPr>
              <w:pStyle w:val="Normal"/>
              <w:spacing w:before="0" w:after="46"/>
              <w:jc w:val="both"/>
              <w:rPr>
                <w:color w:val="000000"/>
                <w:sz w:val="24"/>
                <w:szCs w:val="24"/>
              </w:rPr>
            </w:pPr>
            <w:r>
              <w:rPr>
                <w:color w:val="000000"/>
                <w:sz w:val="24"/>
                <w:szCs w:val="24"/>
              </w:rPr>
              <w:t>* Cancelamento de bilhete de passagem rodoviária, por Ordem;</w:t>
            </w:r>
          </w:p>
          <w:p>
            <w:pPr>
              <w:pStyle w:val="Normal"/>
              <w:spacing w:before="0" w:after="46"/>
              <w:jc w:val="both"/>
              <w:rPr>
                <w:color w:val="000000"/>
                <w:sz w:val="24"/>
                <w:szCs w:val="24"/>
              </w:rPr>
            </w:pPr>
            <w:r>
              <w:rPr>
                <w:color w:val="000000"/>
                <w:sz w:val="24"/>
                <w:szCs w:val="24"/>
              </w:rPr>
              <w:t>* O serviço de agenciamento para passagens rodoviárias será pago para a agência contratada com base no valor total da passagem subtraído do percentual fixo ofertado pelo contratado sobre o valor de uma passagem rodoviária ida e volta.</w:t>
            </w:r>
          </w:p>
        </w:tc>
        <w:tc>
          <w:tcPr>
            <w:tcW w:w="1219"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Serviço/Mensal</w:t>
            </w:r>
          </w:p>
        </w:tc>
        <w:tc>
          <w:tcPr>
            <w:tcW w:w="2045"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R$ ---</w:t>
            </w:r>
          </w:p>
        </w:tc>
        <w:tc>
          <w:tcPr>
            <w:tcW w:w="1870"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R$ ---</w:t>
            </w:r>
          </w:p>
        </w:tc>
      </w:tr>
      <w:tr>
        <w:trPr/>
        <w:tc>
          <w:tcPr>
            <w:tcW w:w="6281" w:type="dxa"/>
            <w:gridSpan w:val="3"/>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TOTAL</w:t>
            </w:r>
          </w:p>
        </w:tc>
        <w:tc>
          <w:tcPr>
            <w:tcW w:w="2045"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R$ ---</w:t>
            </w:r>
          </w:p>
        </w:tc>
        <w:tc>
          <w:tcPr>
            <w:tcW w:w="1870" w:type="dxa"/>
            <w:tcBorders>
              <w:top w:val="single" w:sz="4" w:space="0" w:color="000000"/>
              <w:left w:val="single" w:sz="4" w:space="0" w:color="000000"/>
              <w:bottom w:val="single" w:sz="4" w:space="0" w:color="000000"/>
              <w:right w:val="single" w:sz="4" w:space="0" w:color="000000"/>
            </w:tcBorders>
            <w:vAlign w:val="center"/>
          </w:tcPr>
          <w:p>
            <w:pPr>
              <w:pStyle w:val="List"/>
              <w:widowControl w:val="false"/>
              <w:spacing w:lineRule="auto" w:line="276"/>
              <w:ind w:hanging="0" w:left="0"/>
              <w:jc w:val="center"/>
              <w:rPr>
                <w:bCs/>
                <w:szCs w:val="24"/>
              </w:rPr>
            </w:pPr>
            <w:r>
              <w:rPr>
                <w:bCs/>
                <w:szCs w:val="24"/>
              </w:rPr>
              <w:t>R$ ----</w:t>
            </w:r>
          </w:p>
        </w:tc>
      </w:tr>
    </w:tbl>
    <w:p>
      <w:pPr>
        <w:pStyle w:val="Normal"/>
        <w:spacing w:lineRule="auto" w:line="276"/>
        <w:jc w:val="both"/>
        <w:rPr>
          <w:sz w:val="24"/>
          <w:szCs w:val="24"/>
        </w:rPr>
      </w:pPr>
      <w:r>
        <w:rPr>
          <w:sz w:val="24"/>
          <w:szCs w:val="24"/>
        </w:rPr>
      </w:r>
    </w:p>
    <w:p>
      <w:pPr>
        <w:pStyle w:val="BodyText"/>
        <w:shd w:val="clear" w:color="auto" w:fill="D9D9D9"/>
        <w:spacing w:lineRule="auto" w:line="276"/>
        <w:jc w:val="both"/>
        <w:rPr>
          <w:b/>
          <w:sz w:val="24"/>
          <w:szCs w:val="24"/>
        </w:rPr>
      </w:pPr>
      <w:r>
        <w:rPr>
          <w:b/>
          <w:bCs w:val="false"/>
          <w:sz w:val="24"/>
          <w:szCs w:val="24"/>
        </w:rPr>
        <w:t xml:space="preserve">2 - CLÁUSULA SEGUNDA – DO CONTRATO E SUA </w:t>
      </w:r>
      <w:r>
        <w:rPr>
          <w:b/>
          <w:sz w:val="24"/>
          <w:szCs w:val="24"/>
        </w:rPr>
        <w:t>VIGÊNCIA</w:t>
      </w:r>
    </w:p>
    <w:p>
      <w:pPr>
        <w:pStyle w:val="Normal"/>
        <w:spacing w:lineRule="auto" w:line="360"/>
        <w:ind w:left="57"/>
        <w:jc w:val="both"/>
        <w:rPr>
          <w:color w:val="000000"/>
          <w:sz w:val="24"/>
          <w:szCs w:val="24"/>
        </w:rPr>
      </w:pPr>
      <w:r>
        <w:rPr>
          <w:color w:val="000000"/>
          <w:sz w:val="24"/>
          <w:szCs w:val="24"/>
        </w:rPr>
        <w:t xml:space="preserve"> </w:t>
      </w:r>
      <w:r>
        <w:rPr>
          <w:color w:val="000000"/>
          <w:sz w:val="24"/>
          <w:szCs w:val="24"/>
        </w:rPr>
        <w:t>2.1. O período de vigência do contrato será de 12 (doze) meses, a contar da data de assinatura, podendo ser prorrogado por igual período e assim sucessivamente até o total de 60 (sessenta) meses com base nos artigos 105 e 106 da Lei 14.133/2021, por conveniência das partes, tendo eficácia após a publicação em forma de extrato no Diário Eletrônico Oficial da União.</w:t>
      </w:r>
    </w:p>
    <w:p>
      <w:pPr>
        <w:pStyle w:val="Normal"/>
        <w:spacing w:lineRule="auto" w:line="360"/>
        <w:ind w:left="57"/>
        <w:jc w:val="both"/>
        <w:rPr>
          <w:color w:val="000000"/>
          <w:sz w:val="24"/>
          <w:szCs w:val="24"/>
        </w:rPr>
      </w:pPr>
      <w:r>
        <w:rPr>
          <w:color w:val="000000"/>
          <w:sz w:val="24"/>
          <w:szCs w:val="24"/>
        </w:rPr>
        <w:t>2.2. A Contratada fica obrigada a aceita, nas mesma condições contratuais, os acréscimos ou supressões que se fizerem necessários, até 25% (vinte e cinco por cento) do valor inicial atualizado do contrato, conforme art. 125 da lei 14.133/2021.</w:t>
      </w:r>
    </w:p>
    <w:p>
      <w:pPr>
        <w:pStyle w:val="Normal"/>
        <w:spacing w:lineRule="auto" w:line="360"/>
        <w:ind w:left="57"/>
        <w:jc w:val="both"/>
        <w:rPr>
          <w:color w:val="000000"/>
          <w:sz w:val="24"/>
          <w:szCs w:val="24"/>
        </w:rPr>
      </w:pPr>
      <w:r>
        <w:rPr>
          <w:color w:val="000000"/>
          <w:sz w:val="24"/>
          <w:szCs w:val="24"/>
        </w:rPr>
        <w:t>2.3. A execução do contrato, bem como os casos nele omissos, regular-se-ão pelas cláusulas contratuais e pelos preceitos de direto público, aplicando-se supletivamente os princípios da teoria geral dos contratos e as disposições de direito privado, na forma da lei.</w:t>
      </w:r>
    </w:p>
    <w:p>
      <w:pPr>
        <w:pStyle w:val="Normal"/>
        <w:spacing w:lineRule="auto" w:line="360"/>
        <w:ind w:left="57"/>
        <w:jc w:val="both"/>
        <w:rPr>
          <w:color w:val="000000"/>
          <w:sz w:val="24"/>
          <w:szCs w:val="24"/>
        </w:rPr>
      </w:pPr>
      <w:r>
        <w:rPr>
          <w:color w:val="000000"/>
          <w:sz w:val="24"/>
          <w:szCs w:val="24"/>
        </w:rPr>
        <w:t>2.4. É vedado cauciona ou utilizar o contrato decorrente do presente instrumento para qualquer operação financeira sem prévia e expressão do CROMT.</w:t>
      </w:r>
    </w:p>
    <w:p>
      <w:pPr>
        <w:pStyle w:val="Normal"/>
        <w:spacing w:lineRule="auto" w:line="360"/>
        <w:ind w:left="57"/>
        <w:jc w:val="both"/>
        <w:rPr/>
      </w:pPr>
      <w:r>
        <w:rPr>
          <w:color w:val="000000"/>
          <w:sz w:val="24"/>
          <w:szCs w:val="24"/>
        </w:rPr>
        <w:t>2.5. A divulgação do extrato do contrato ocorrerá por publicação no Diário Eletrônico da União.</w:t>
      </w:r>
    </w:p>
    <w:p>
      <w:pPr>
        <w:pStyle w:val="Normal"/>
        <w:spacing w:lineRule="auto" w:line="360"/>
        <w:ind w:left="57" w:right="-850"/>
        <w:jc w:val="both"/>
        <w:rPr/>
      </w:pPr>
      <w:r>
        <w:rPr/>
      </w:r>
    </w:p>
    <w:p>
      <w:pPr>
        <w:pStyle w:val="BodyText"/>
        <w:shd w:val="clear" w:color="auto" w:fill="D9D9D9"/>
        <w:spacing w:lineRule="auto" w:line="276"/>
        <w:jc w:val="both"/>
        <w:rPr>
          <w:b/>
          <w:sz w:val="24"/>
          <w:szCs w:val="24"/>
        </w:rPr>
      </w:pPr>
      <w:r>
        <w:rPr>
          <w:b/>
          <w:bCs w:val="false"/>
          <w:sz w:val="24"/>
          <w:szCs w:val="24"/>
        </w:rPr>
        <w:t>3 - CLÁUSULA TERCEIRA – DO VALOR ESTIMADO E CRITÉRIO DE REAJUSTE</w:t>
      </w:r>
    </w:p>
    <w:p>
      <w:pPr>
        <w:pStyle w:val="Normal"/>
        <w:spacing w:lineRule="auto" w:line="276" w:before="0" w:after="200"/>
        <w:jc w:val="both"/>
        <w:rPr>
          <w:sz w:val="24"/>
          <w:szCs w:val="24"/>
        </w:rPr>
      </w:pPr>
      <w:r>
        <w:rPr>
          <w:sz w:val="24"/>
          <w:szCs w:val="24"/>
        </w:rPr>
        <w:t>3.1. O valor do presente Termo de Contrato é de R$ XX.XXXX,XX (XXXXXXXXX).</w:t>
      </w:r>
    </w:p>
    <w:p>
      <w:pPr>
        <w:pStyle w:val="Normal"/>
        <w:spacing w:lineRule="auto" w:line="276" w:before="0" w:after="200"/>
        <w:jc w:val="both"/>
        <w:rPr>
          <w:sz w:val="24"/>
          <w:szCs w:val="24"/>
        </w:rPr>
      </w:pPr>
      <w:r>
        <w:rPr>
          <w:sz w:val="24"/>
          <w:szCs w:val="24"/>
        </w:rPr>
        <w:t xml:space="preserve">3.2.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 </w:t>
      </w:r>
    </w:p>
    <w:p>
      <w:pPr>
        <w:pStyle w:val="Normal"/>
        <w:spacing w:lineRule="auto" w:line="276"/>
        <w:jc w:val="both"/>
        <w:rPr>
          <w:sz w:val="24"/>
          <w:szCs w:val="24"/>
        </w:rPr>
      </w:pPr>
      <w:r>
        <w:rPr>
          <w:sz w:val="24"/>
          <w:szCs w:val="24"/>
        </w:rPr>
        <w:t xml:space="preserve">3.3. Do Critério de Reajuste: </w:t>
      </w:r>
    </w:p>
    <w:p>
      <w:pPr>
        <w:pStyle w:val="Normal"/>
        <w:spacing w:lineRule="auto" w:line="276"/>
        <w:jc w:val="both"/>
        <w:rPr>
          <w:sz w:val="24"/>
          <w:szCs w:val="24"/>
        </w:rPr>
      </w:pPr>
      <w:r>
        <w:rPr>
          <w:sz w:val="24"/>
          <w:szCs w:val="24"/>
        </w:rPr>
        <w:t xml:space="preserve">       </w:t>
      </w:r>
      <w:r>
        <w:rPr>
          <w:sz w:val="24"/>
          <w:szCs w:val="24"/>
        </w:rPr>
        <w:t xml:space="preserve">3.3.1 Somente haverá reajuste do valor contratual depois de decorridos 12 (doze) meses, contados da assinatura do contrato, com base na taxa obtida da média aritmética do Índice Geral de Preços do Mercado (IGPM-FGV) apurado e fornecido pela Fundação Getúlio Varga ou outro índice que venha substituí-lo, acumulado nos 12 (doze) meses anteriores ao último mês de vigência do contrato. </w:t>
      </w:r>
    </w:p>
    <w:p>
      <w:pPr>
        <w:pStyle w:val="Normal"/>
        <w:spacing w:lineRule="auto" w:line="276"/>
        <w:ind w:firstLine="426"/>
        <w:jc w:val="both"/>
        <w:rPr>
          <w:sz w:val="24"/>
          <w:szCs w:val="24"/>
        </w:rPr>
      </w:pPr>
      <w:r>
        <w:rPr>
          <w:sz w:val="24"/>
          <w:szCs w:val="24"/>
        </w:rPr>
        <w:t xml:space="preserve">3.3.2 Para que seja efetuado o reajuste supra, a CONTRATADA deverá em até 30 (trinta) dias antes do vencimento anual, solicitar o reajuste perante o Conselho Regional de Odontologia, sob pena de PRECLUSÃO, visto que não se constitui em direito de aplicação automática. </w:t>
      </w:r>
    </w:p>
    <w:p>
      <w:pPr>
        <w:pStyle w:val="Normal"/>
        <w:spacing w:lineRule="auto" w:line="276"/>
        <w:ind w:firstLine="426"/>
        <w:jc w:val="both"/>
        <w:rPr>
          <w:sz w:val="24"/>
          <w:szCs w:val="24"/>
        </w:rPr>
      </w:pPr>
      <w:r>
        <w:rPr>
          <w:sz w:val="24"/>
          <w:szCs w:val="24"/>
        </w:rPr>
        <w:t xml:space="preserve">3.3.3 Caso tenha sido consumada a PRECLUSÃO, novo pedido de reajuste, somente, poderá ser apresentado pela CONTRATADA, em relação ao período subsequente de 12 (doze) meses e desde que respeitadas as formalidades acima elencadas. </w:t>
      </w:r>
    </w:p>
    <w:p>
      <w:pPr>
        <w:pStyle w:val="Normal"/>
        <w:spacing w:lineRule="auto" w:line="276"/>
        <w:ind w:firstLine="426"/>
        <w:jc w:val="both"/>
        <w:rPr>
          <w:sz w:val="24"/>
          <w:szCs w:val="24"/>
        </w:rPr>
      </w:pPr>
      <w:r>
        <w:rPr>
          <w:sz w:val="24"/>
          <w:szCs w:val="24"/>
        </w:rPr>
        <w:t xml:space="preserve">3.3.4 Na hipótese do pedido de reajuste atender as formalidades ora mencionadas, poderá ser formalizado por meio de apostilamento, nos termos do que dispões o artigo 6, </w:t>
      </w:r>
      <w:r>
        <w:rPr>
          <w:rFonts w:eastAsia="Calibri" w:eastAsiaTheme="minorHAnsi"/>
          <w:color w:val="222222"/>
          <w:sz w:val="24"/>
          <w:szCs w:val="24"/>
          <w:lang w:eastAsia="en-US"/>
        </w:rPr>
        <w:t>da Lei nº 14.133/21.</w:t>
      </w:r>
    </w:p>
    <w:p>
      <w:pPr>
        <w:pStyle w:val="BodyText"/>
        <w:shd w:val="clear" w:color="auto" w:fill="D9D9D9"/>
        <w:spacing w:lineRule="auto" w:line="276"/>
        <w:jc w:val="both"/>
        <w:rPr>
          <w:b/>
          <w:sz w:val="24"/>
          <w:szCs w:val="24"/>
        </w:rPr>
      </w:pPr>
      <w:r>
        <w:rPr>
          <w:b/>
          <w:bCs w:val="false"/>
          <w:sz w:val="24"/>
          <w:szCs w:val="24"/>
        </w:rPr>
        <w:t>4 - CLÁUSULA QUARTA – DOTAÇÃO ORÇAMENTÁRIA</w:t>
      </w:r>
    </w:p>
    <w:p>
      <w:pPr>
        <w:pStyle w:val="Normal"/>
        <w:spacing w:lineRule="auto" w:line="276" w:before="0" w:after="200"/>
        <w:jc w:val="both"/>
        <w:rPr>
          <w:sz w:val="24"/>
          <w:szCs w:val="24"/>
        </w:rPr>
      </w:pPr>
      <w:r>
        <w:rPr>
          <w:sz w:val="24"/>
          <w:szCs w:val="24"/>
        </w:rPr>
        <w:t>4.1. As despesas decorrentes desta contratação estão programadas em dotação orçamentária própria, prevista no orçamento da Conselho Regional de Odontologia de Mato Grosso, para o exercício de 2024, na classificação abaixo:</w:t>
      </w:r>
    </w:p>
    <w:p>
      <w:pPr>
        <w:pStyle w:val="Normal"/>
        <w:spacing w:lineRule="auto" w:line="276"/>
        <w:jc w:val="both"/>
        <w:rPr>
          <w:b/>
          <w:bCs/>
          <w:sz w:val="24"/>
          <w:szCs w:val="24"/>
        </w:rPr>
      </w:pPr>
      <w:r>
        <w:rPr>
          <w:b/>
          <w:bCs/>
          <w:sz w:val="24"/>
          <w:szCs w:val="24"/>
        </w:rPr>
        <w:t xml:space="preserve">Conta Contábil: </w:t>
      </w:r>
    </w:p>
    <w:p>
      <w:pPr>
        <w:pStyle w:val="Normal"/>
        <w:spacing w:lineRule="auto" w:line="276"/>
        <w:jc w:val="both"/>
        <w:rPr>
          <w:b/>
          <w:bCs/>
          <w:sz w:val="24"/>
          <w:szCs w:val="24"/>
        </w:rPr>
      </w:pPr>
      <w:r>
        <w:rPr>
          <w:b/>
          <w:bCs/>
          <w:sz w:val="24"/>
          <w:szCs w:val="24"/>
        </w:rPr>
        <w:t xml:space="preserve">Centro de Custo: </w:t>
      </w:r>
    </w:p>
    <w:p>
      <w:pPr>
        <w:pStyle w:val="Normal"/>
        <w:spacing w:lineRule="auto" w:line="276"/>
        <w:jc w:val="both"/>
        <w:rPr>
          <w:b/>
          <w:bCs/>
          <w:sz w:val="24"/>
          <w:szCs w:val="24"/>
        </w:rPr>
      </w:pPr>
      <w:r>
        <w:rPr>
          <w:b/>
          <w:bCs/>
          <w:sz w:val="24"/>
          <w:szCs w:val="24"/>
        </w:rPr>
        <w:t xml:space="preserve">Atividade: </w:t>
      </w:r>
    </w:p>
    <w:p>
      <w:pPr>
        <w:pStyle w:val="Normal"/>
        <w:spacing w:lineRule="auto" w:line="276"/>
        <w:jc w:val="both"/>
        <w:rPr>
          <w:b/>
          <w:bCs/>
          <w:sz w:val="24"/>
          <w:szCs w:val="24"/>
        </w:rPr>
      </w:pPr>
      <w:r>
        <w:rPr>
          <w:b/>
          <w:bCs/>
          <w:sz w:val="24"/>
          <w:szCs w:val="24"/>
        </w:rPr>
        <w:t xml:space="preserve">Valor: </w:t>
      </w:r>
    </w:p>
    <w:p>
      <w:pPr>
        <w:pStyle w:val="Normal"/>
        <w:spacing w:lineRule="auto" w:line="276"/>
        <w:jc w:val="both"/>
        <w:rPr>
          <w:b/>
          <w:bCs/>
          <w:sz w:val="24"/>
          <w:szCs w:val="24"/>
        </w:rPr>
      </w:pPr>
      <w:r>
        <w:rPr>
          <w:b/>
          <w:bCs/>
          <w:sz w:val="24"/>
          <w:szCs w:val="24"/>
        </w:rPr>
        <w:t>Total de XXXXXXX, recurso próprio 2024.</w:t>
      </w:r>
    </w:p>
    <w:p>
      <w:pPr>
        <w:pStyle w:val="Normal"/>
        <w:spacing w:lineRule="auto" w:line="276"/>
        <w:jc w:val="both"/>
        <w:rPr>
          <w:b/>
          <w:bCs/>
          <w:sz w:val="24"/>
          <w:szCs w:val="24"/>
        </w:rPr>
      </w:pPr>
      <w:r>
        <w:rPr>
          <w:b/>
          <w:bCs/>
          <w:sz w:val="24"/>
          <w:szCs w:val="24"/>
        </w:rPr>
      </w:r>
    </w:p>
    <w:p>
      <w:pPr>
        <w:pStyle w:val="BodyText"/>
        <w:shd w:val="clear" w:color="auto" w:fill="D9D9D9"/>
        <w:spacing w:lineRule="auto" w:line="276"/>
        <w:jc w:val="both"/>
        <w:rPr>
          <w:b/>
          <w:sz w:val="24"/>
          <w:szCs w:val="24"/>
        </w:rPr>
      </w:pPr>
      <w:r>
        <w:rPr>
          <w:b/>
          <w:bCs w:val="false"/>
          <w:sz w:val="24"/>
          <w:szCs w:val="24"/>
        </w:rPr>
        <w:t>5 - CLÁUSULA QUINTA – PAGAMENTO</w:t>
      </w:r>
    </w:p>
    <w:p>
      <w:pPr>
        <w:pStyle w:val="BodyText"/>
        <w:shd w:val="clear" w:color="auto" w:fill="FFFFFF"/>
        <w:spacing w:lineRule="auto" w:line="276"/>
        <w:jc w:val="both"/>
        <w:rPr>
          <w:sz w:val="24"/>
          <w:szCs w:val="24"/>
        </w:rPr>
      </w:pPr>
      <w:r>
        <w:rPr>
          <w:bCs w:val="false"/>
          <w:sz w:val="24"/>
          <w:szCs w:val="24"/>
          <w:lang w:eastAsia="en-US"/>
        </w:rPr>
        <w:t>5</w:t>
      </w:r>
      <w:r>
        <w:rPr>
          <w:sz w:val="24"/>
          <w:szCs w:val="24"/>
          <w:lang w:eastAsia="en-US"/>
        </w:rPr>
        <w:t xml:space="preserve">.1. </w:t>
      </w:r>
      <w:r>
        <w:rPr>
          <w:sz w:val="24"/>
          <w:szCs w:val="24"/>
        </w:rPr>
        <w:t>As Notas Fiscais / Faturas devem ser discriminativas, em nome do CROMT.</w:t>
      </w:r>
    </w:p>
    <w:p>
      <w:pPr>
        <w:pStyle w:val="BodyText"/>
        <w:shd w:val="clear" w:color="auto" w:fill="FFFFFF"/>
        <w:spacing w:lineRule="auto" w:line="276"/>
        <w:jc w:val="both"/>
        <w:rPr>
          <w:sz w:val="24"/>
          <w:szCs w:val="24"/>
        </w:rPr>
      </w:pPr>
      <w:r>
        <w:rPr>
          <w:sz w:val="24"/>
          <w:szCs w:val="24"/>
        </w:rPr>
      </w:r>
    </w:p>
    <w:p>
      <w:pPr>
        <w:pStyle w:val="BodyText"/>
        <w:shd w:val="clear" w:color="auto" w:fill="FFFFFF"/>
        <w:spacing w:lineRule="auto" w:line="276"/>
        <w:jc w:val="both"/>
        <w:rPr>
          <w:sz w:val="24"/>
          <w:szCs w:val="24"/>
        </w:rPr>
      </w:pPr>
      <w:r>
        <w:rPr>
          <w:sz w:val="24"/>
          <w:szCs w:val="24"/>
        </w:rPr>
        <w:t>5.2 A (s) Nota (s) Fiscal (is) do (s) serviço (s) prestado (s) deverá ser remetida com antecedência mínima de 10 (dez) dias úteis em relação à data de seu vencimento e deve conter todos os dados da empresa, se é optante pelo simples nacional, o número da nota de empenho e/ou contrato e a descrição do objeto com a quantidade, para que o Fiscal do Contrato possa realizar sua verificação e, não havendo problemas, atestá-la</w:t>
      </w:r>
      <w:r>
        <w:rPr>
          <w:b/>
          <w:sz w:val="24"/>
          <w:szCs w:val="24"/>
        </w:rPr>
        <w:t>.</w:t>
      </w:r>
      <w:r>
        <w:rPr>
          <w:sz w:val="24"/>
          <w:szCs w:val="24"/>
        </w:rPr>
        <w:t xml:space="preserve"> O pagamento será efetuado nos dias 10 e/ou 20 do mês subsequente a prestação/aquisição do serviço/material, devendo apresentar Nota Fiscal e/ou documentos fiscal com 10 (dez) dias de antecedência das datas programadas para pagamento de fornecedores;</w:t>
      </w:r>
    </w:p>
    <w:p>
      <w:pPr>
        <w:pStyle w:val="BodyText"/>
        <w:shd w:val="clear" w:color="auto" w:fill="FFFFFF"/>
        <w:spacing w:lineRule="auto" w:line="276"/>
        <w:jc w:val="both"/>
        <w:rPr>
          <w:sz w:val="24"/>
          <w:szCs w:val="24"/>
        </w:rPr>
      </w:pPr>
      <w:r>
        <w:rPr>
          <w:sz w:val="24"/>
          <w:szCs w:val="24"/>
        </w:rPr>
      </w:r>
    </w:p>
    <w:p>
      <w:pPr>
        <w:pStyle w:val="BodyText"/>
        <w:shd w:val="clear" w:color="auto" w:fill="FFFFFF"/>
        <w:spacing w:lineRule="auto" w:line="276"/>
        <w:jc w:val="both"/>
        <w:rPr>
          <w:sz w:val="24"/>
          <w:szCs w:val="24"/>
        </w:rPr>
      </w:pPr>
      <w:r>
        <w:rPr>
          <w:sz w:val="24"/>
          <w:szCs w:val="24"/>
        </w:rPr>
        <w:t>5.3. Deverão acompanhar a fatura todos os recibos das entregas ocorridas durante o mês e apresentada Declaração nos moldes da Instrução Normativa nº 1234/2012, no caso da Contratada ser optante pelo Simples Nacional.</w:t>
      </w:r>
    </w:p>
    <w:p>
      <w:pPr>
        <w:pStyle w:val="BodyText"/>
        <w:shd w:val="clear" w:color="auto" w:fill="D9D9D9"/>
        <w:spacing w:lineRule="auto" w:line="276"/>
        <w:jc w:val="both"/>
        <w:rPr>
          <w:b/>
          <w:sz w:val="24"/>
          <w:szCs w:val="24"/>
        </w:rPr>
      </w:pPr>
      <w:r>
        <w:rPr>
          <w:b/>
          <w:bCs w:val="false"/>
          <w:sz w:val="24"/>
          <w:szCs w:val="24"/>
        </w:rPr>
        <w:t>6 - CLÁUSULA SEXTA – DA SUBCONTRATAÇÃO</w:t>
      </w:r>
    </w:p>
    <w:p>
      <w:pPr>
        <w:pStyle w:val="Normal"/>
        <w:spacing w:lineRule="auto" w:line="276" w:before="0" w:after="200"/>
        <w:jc w:val="both"/>
        <w:rPr>
          <w:sz w:val="24"/>
          <w:szCs w:val="24"/>
        </w:rPr>
      </w:pPr>
      <w:r>
        <w:rPr>
          <w:sz w:val="24"/>
          <w:szCs w:val="24"/>
        </w:rPr>
        <w:t xml:space="preserve">6.1. Não será permitida a subcontratação no todo ou em parte do objeto deste Contrato. </w:t>
      </w:r>
    </w:p>
    <w:p>
      <w:pPr>
        <w:pStyle w:val="BodyText"/>
        <w:numPr>
          <w:ilvl w:val="0"/>
          <w:numId w:val="25"/>
        </w:numPr>
        <w:shd w:val="clear" w:color="auto" w:fill="D9D9D9"/>
        <w:spacing w:lineRule="auto" w:line="276"/>
        <w:jc w:val="both"/>
        <w:rPr>
          <w:b/>
          <w:sz w:val="24"/>
          <w:szCs w:val="24"/>
        </w:rPr>
      </w:pPr>
      <w:r>
        <w:rPr>
          <w:b/>
          <w:bCs w:val="false"/>
          <w:sz w:val="24"/>
          <w:szCs w:val="24"/>
        </w:rPr>
        <w:t>- CLÁUSULA SÉTIMA – GARANTIA DE EXECUÇÃO</w:t>
      </w:r>
    </w:p>
    <w:p>
      <w:pPr>
        <w:pStyle w:val="ListParagraph"/>
        <w:numPr>
          <w:ilvl w:val="1"/>
          <w:numId w:val="25"/>
        </w:numPr>
        <w:tabs>
          <w:tab w:val="clear" w:pos="708"/>
          <w:tab w:val="left" w:pos="142" w:leader="none"/>
        </w:tabs>
        <w:spacing w:lineRule="auto" w:line="276" w:before="0" w:after="200"/>
        <w:ind w:hanging="0" w:left="0"/>
        <w:contextualSpacing/>
        <w:jc w:val="both"/>
        <w:rPr>
          <w:sz w:val="24"/>
          <w:szCs w:val="24"/>
        </w:rPr>
      </w:pPr>
      <w:r>
        <w:rPr>
          <w:sz w:val="24"/>
          <w:szCs w:val="24"/>
        </w:rPr>
        <w:t>Será exigida da licitante vencedora a apresentação de garantia, no prazo máximo de 10 (dez) dias úteis da assinatura do termo contratual, prorrogável por igual período, desde que apresentada justificativa fundamentada e aceite pela CONTRANTE, antes de expirado o prazo inicial, em favor da CONTRANTE, correspondente a 5% (cinco por cento) do valor total do contrato, numa das seguintes modalidades, conforme opção da CONTRATADA de:</w:t>
      </w:r>
    </w:p>
    <w:p>
      <w:pPr>
        <w:pStyle w:val="ListParagraph"/>
        <w:numPr>
          <w:ilvl w:val="0"/>
          <w:numId w:val="15"/>
        </w:numPr>
        <w:tabs>
          <w:tab w:val="clear" w:pos="708"/>
          <w:tab w:val="left" w:pos="142" w:leader="none"/>
        </w:tabs>
        <w:spacing w:lineRule="auto" w:line="276" w:before="0" w:after="200"/>
        <w:contextualSpacing/>
        <w:jc w:val="both"/>
        <w:rPr>
          <w:sz w:val="24"/>
          <w:szCs w:val="24"/>
        </w:rPr>
      </w:pPr>
      <w:r>
        <w:rPr>
          <w:sz w:val="24"/>
          <w:szCs w:val="24"/>
        </w:rPr>
        <w:t>Caução em dinheiro ou títulos da dívida pública federal;</w:t>
      </w:r>
    </w:p>
    <w:p>
      <w:pPr>
        <w:pStyle w:val="ListParagraph"/>
        <w:numPr>
          <w:ilvl w:val="0"/>
          <w:numId w:val="15"/>
        </w:numPr>
        <w:tabs>
          <w:tab w:val="clear" w:pos="708"/>
          <w:tab w:val="left" w:pos="142" w:leader="none"/>
        </w:tabs>
        <w:spacing w:lineRule="auto" w:line="276" w:before="0" w:after="200"/>
        <w:contextualSpacing/>
        <w:jc w:val="both"/>
        <w:rPr>
          <w:sz w:val="24"/>
          <w:szCs w:val="24"/>
        </w:rPr>
      </w:pPr>
      <w:r>
        <w:rPr>
          <w:sz w:val="24"/>
          <w:szCs w:val="24"/>
        </w:rPr>
        <w:t>Seguro-garantia;</w:t>
      </w:r>
    </w:p>
    <w:p>
      <w:pPr>
        <w:pStyle w:val="ListParagraph"/>
        <w:numPr>
          <w:ilvl w:val="0"/>
          <w:numId w:val="15"/>
        </w:numPr>
        <w:tabs>
          <w:tab w:val="clear" w:pos="708"/>
          <w:tab w:val="left" w:pos="142" w:leader="none"/>
        </w:tabs>
        <w:spacing w:lineRule="auto" w:line="276" w:before="0" w:after="200"/>
        <w:contextualSpacing/>
        <w:jc w:val="both"/>
        <w:rPr>
          <w:sz w:val="24"/>
          <w:szCs w:val="24"/>
        </w:rPr>
      </w:pPr>
      <w:r>
        <w:rPr>
          <w:sz w:val="24"/>
          <w:szCs w:val="24"/>
        </w:rPr>
        <w:t>Fiança bancária;</w:t>
      </w:r>
    </w:p>
    <w:p>
      <w:pPr>
        <w:pStyle w:val="ListParagraph"/>
        <w:numPr>
          <w:ilvl w:val="2"/>
          <w:numId w:val="25"/>
        </w:numPr>
        <w:tabs>
          <w:tab w:val="clear" w:pos="708"/>
          <w:tab w:val="left" w:pos="142" w:leader="none"/>
        </w:tabs>
        <w:spacing w:lineRule="auto" w:line="276" w:before="0" w:after="200"/>
        <w:ind w:hanging="0" w:left="0"/>
        <w:contextualSpacing/>
        <w:jc w:val="both"/>
        <w:rPr>
          <w:sz w:val="24"/>
          <w:szCs w:val="24"/>
        </w:rPr>
      </w:pPr>
      <w:r>
        <w:rPr>
          <w:sz w:val="24"/>
          <w:szCs w:val="24"/>
        </w:rPr>
        <w:t xml:space="preserve">A inobservância do prazo de 10 (dez) dias úteis da assinatura do termo contratual fixado para apresentação da garantia acarretará a aplicação de multa de 0,07% (sete centésimos por cento) do valor do contrato por dia de atraso, observando o máximo de 2% (dois por cento). </w:t>
      </w:r>
    </w:p>
    <w:p>
      <w:pPr>
        <w:pStyle w:val="ListParagraph"/>
        <w:numPr>
          <w:ilvl w:val="2"/>
          <w:numId w:val="25"/>
        </w:numPr>
        <w:tabs>
          <w:tab w:val="clear" w:pos="708"/>
          <w:tab w:val="left" w:pos="142" w:leader="none"/>
        </w:tabs>
        <w:spacing w:lineRule="auto" w:line="276" w:before="0" w:after="200"/>
        <w:ind w:hanging="0" w:left="0"/>
        <w:contextualSpacing/>
        <w:jc w:val="both"/>
        <w:rPr>
          <w:sz w:val="24"/>
          <w:szCs w:val="24"/>
        </w:rPr>
      </w:pPr>
      <w:r>
        <w:rPr>
          <w:sz w:val="24"/>
          <w:szCs w:val="24"/>
        </w:rPr>
        <w:t xml:space="preserve">O atraso superior a 25 (vinte e cinco) dias autoriza a Administração a promover a rescisão do contrato por descumprimento ou cumprimento irregular de suas clausulas, conforme dispõem no art. 137 da Lei nº 14.133/21. </w:t>
      </w:r>
    </w:p>
    <w:p>
      <w:pPr>
        <w:pStyle w:val="ListParagraph"/>
        <w:numPr>
          <w:ilvl w:val="2"/>
          <w:numId w:val="25"/>
        </w:numPr>
        <w:tabs>
          <w:tab w:val="clear" w:pos="708"/>
          <w:tab w:val="left" w:pos="142" w:leader="none"/>
        </w:tabs>
        <w:spacing w:lineRule="auto" w:line="276" w:before="0" w:after="200"/>
        <w:ind w:hanging="0" w:left="0"/>
        <w:contextualSpacing/>
        <w:jc w:val="both"/>
        <w:rPr>
          <w:sz w:val="24"/>
          <w:szCs w:val="24"/>
        </w:rPr>
      </w:pPr>
      <w:r>
        <w:rPr>
          <w:sz w:val="24"/>
          <w:szCs w:val="24"/>
        </w:rPr>
        <w:t>A garantia, qualquer que seja a modalidade escolhida, assegurará o pagamento de:</w:t>
      </w:r>
    </w:p>
    <w:p>
      <w:pPr>
        <w:pStyle w:val="ListParagraph"/>
        <w:numPr>
          <w:ilvl w:val="0"/>
          <w:numId w:val="16"/>
        </w:numPr>
        <w:tabs>
          <w:tab w:val="clear" w:pos="708"/>
          <w:tab w:val="left" w:pos="142" w:leader="none"/>
        </w:tabs>
        <w:spacing w:lineRule="auto" w:line="276" w:before="0" w:after="200"/>
        <w:contextualSpacing/>
        <w:jc w:val="both"/>
        <w:rPr>
          <w:sz w:val="24"/>
          <w:szCs w:val="24"/>
        </w:rPr>
      </w:pPr>
      <w:r>
        <w:rPr>
          <w:sz w:val="24"/>
          <w:szCs w:val="24"/>
        </w:rPr>
        <w:t>Prejuízo advindos do não cumprimento do objeto contrato e do não adimplemento das demais obrigações nele previstas;</w:t>
      </w:r>
    </w:p>
    <w:p>
      <w:pPr>
        <w:pStyle w:val="ListParagraph"/>
        <w:numPr>
          <w:ilvl w:val="0"/>
          <w:numId w:val="16"/>
        </w:numPr>
        <w:tabs>
          <w:tab w:val="clear" w:pos="708"/>
          <w:tab w:val="left" w:pos="142" w:leader="none"/>
        </w:tabs>
        <w:spacing w:lineRule="auto" w:line="276" w:before="0" w:after="200"/>
        <w:contextualSpacing/>
        <w:jc w:val="both"/>
        <w:rPr>
          <w:sz w:val="24"/>
          <w:szCs w:val="24"/>
        </w:rPr>
      </w:pPr>
      <w:r>
        <w:rPr>
          <w:sz w:val="24"/>
          <w:szCs w:val="24"/>
        </w:rPr>
        <w:t>Prejuízos diretos causados à CONTRATANTE, decorrentes de culpa ou dolo durante a execução do contrato;</w:t>
      </w:r>
    </w:p>
    <w:p>
      <w:pPr>
        <w:pStyle w:val="ListParagraph"/>
        <w:numPr>
          <w:ilvl w:val="0"/>
          <w:numId w:val="16"/>
        </w:numPr>
        <w:tabs>
          <w:tab w:val="clear" w:pos="708"/>
          <w:tab w:val="left" w:pos="142" w:leader="none"/>
        </w:tabs>
        <w:spacing w:lineRule="auto" w:line="276" w:before="0" w:after="200"/>
        <w:contextualSpacing/>
        <w:jc w:val="both"/>
        <w:rPr>
          <w:sz w:val="24"/>
          <w:szCs w:val="24"/>
        </w:rPr>
      </w:pPr>
      <w:r>
        <w:rPr>
          <w:sz w:val="24"/>
          <w:szCs w:val="24"/>
        </w:rPr>
        <w:t>Multas moratórias e punitivas aplicadas pela Administração à CONTRATA;</w:t>
      </w:r>
    </w:p>
    <w:p>
      <w:pPr>
        <w:pStyle w:val="ListParagraph"/>
        <w:numPr>
          <w:ilvl w:val="0"/>
          <w:numId w:val="16"/>
        </w:numPr>
        <w:tabs>
          <w:tab w:val="clear" w:pos="708"/>
          <w:tab w:val="left" w:pos="142" w:leader="none"/>
        </w:tabs>
        <w:spacing w:lineRule="auto" w:line="276" w:before="0" w:after="200"/>
        <w:contextualSpacing/>
        <w:jc w:val="both"/>
        <w:rPr>
          <w:sz w:val="24"/>
          <w:szCs w:val="24"/>
        </w:rPr>
      </w:pPr>
      <w:r>
        <w:rPr>
          <w:sz w:val="24"/>
          <w:szCs w:val="24"/>
        </w:rPr>
        <w:t>Obrigações trabalhista e previdenciárias de qualquer natureza, não adimplidas pela CONTRADA, quando couber.</w:t>
      </w:r>
    </w:p>
    <w:p>
      <w:pPr>
        <w:pStyle w:val="ListParagraph"/>
        <w:numPr>
          <w:ilvl w:val="2"/>
          <w:numId w:val="25"/>
        </w:numPr>
        <w:tabs>
          <w:tab w:val="clear" w:pos="708"/>
          <w:tab w:val="left" w:pos="142" w:leader="none"/>
        </w:tabs>
        <w:spacing w:lineRule="auto" w:line="276" w:before="0" w:after="200"/>
        <w:ind w:hanging="0" w:left="0"/>
        <w:contextualSpacing/>
        <w:jc w:val="both"/>
        <w:rPr>
          <w:sz w:val="24"/>
          <w:szCs w:val="24"/>
        </w:rPr>
      </w:pPr>
      <w:r>
        <w:rPr>
          <w:sz w:val="24"/>
          <w:szCs w:val="24"/>
        </w:rPr>
        <w:t xml:space="preserve">A modalidade seguro-garantia somente será aceita se contemplar todos os eventos indicados no subitem anterior. </w:t>
      </w:r>
    </w:p>
    <w:p>
      <w:pPr>
        <w:pStyle w:val="ListParagraph"/>
        <w:numPr>
          <w:ilvl w:val="2"/>
          <w:numId w:val="25"/>
        </w:numPr>
        <w:tabs>
          <w:tab w:val="clear" w:pos="708"/>
          <w:tab w:val="left" w:pos="142" w:leader="none"/>
        </w:tabs>
        <w:spacing w:lineRule="auto" w:line="276" w:before="0" w:after="200"/>
        <w:ind w:hanging="0" w:left="0"/>
        <w:contextualSpacing/>
        <w:jc w:val="both"/>
        <w:rPr>
          <w:sz w:val="24"/>
          <w:szCs w:val="24"/>
        </w:rPr>
      </w:pPr>
      <w:r>
        <w:rPr>
          <w:sz w:val="24"/>
          <w:szCs w:val="24"/>
        </w:rPr>
        <w:t xml:space="preserve">Caso a CONTRATADA opte pela caução em dinheiro, deverá providenciar o depósito junto ao Banco do Brasil, em conta específica com correção monetária, nominal ao Conselho Regional de Odontologia, para os fins especificados a que se destina, sendo o recebido de depósito o único meio hábil de comprovação desta exigência. </w:t>
      </w:r>
    </w:p>
    <w:p>
      <w:pPr>
        <w:pStyle w:val="ListParagraph"/>
        <w:tabs>
          <w:tab w:val="clear" w:pos="708"/>
          <w:tab w:val="left" w:pos="142" w:leader="none"/>
        </w:tabs>
        <w:spacing w:lineRule="auto" w:line="276" w:before="0" w:after="200"/>
        <w:ind w:left="0"/>
        <w:contextualSpacing/>
        <w:jc w:val="both"/>
        <w:rPr>
          <w:sz w:val="24"/>
          <w:szCs w:val="24"/>
        </w:rPr>
      </w:pPr>
      <w:r>
        <w:rPr>
          <w:sz w:val="24"/>
          <w:szCs w:val="24"/>
        </w:rPr>
      </w:r>
    </w:p>
    <w:p>
      <w:pPr>
        <w:pStyle w:val="ListParagraph"/>
        <w:tabs>
          <w:tab w:val="clear" w:pos="708"/>
          <w:tab w:val="left" w:pos="142" w:leader="none"/>
        </w:tabs>
        <w:spacing w:lineRule="auto" w:line="276" w:before="0" w:after="200"/>
        <w:ind w:left="0"/>
        <w:contextualSpacing/>
        <w:jc w:val="both"/>
        <w:rPr>
          <w:sz w:val="24"/>
          <w:szCs w:val="24"/>
        </w:rPr>
      </w:pPr>
      <w:r>
        <w:rPr>
          <w:b/>
          <w:sz w:val="24"/>
          <w:szCs w:val="24"/>
        </w:rPr>
        <w:t>8 - CLÁUSULA OITAVA – DA EXECUÇÃO CONTRATUAL</w:t>
      </w:r>
    </w:p>
    <w:p>
      <w:pPr>
        <w:pStyle w:val="Normal"/>
        <w:spacing w:lineRule="auto" w:line="360"/>
        <w:ind w:left="57" w:right="-850"/>
        <w:jc w:val="both"/>
        <w:rPr/>
      </w:pPr>
      <w:r>
        <w:rPr>
          <w:color w:val="111111"/>
          <w:sz w:val="24"/>
          <w:szCs w:val="24"/>
        </w:rPr>
        <w:t>8. METODOLOGIA DE TRABALHO</w:t>
      </w:r>
    </w:p>
    <w:p>
      <w:pPr>
        <w:pStyle w:val="Normal"/>
        <w:spacing w:lineRule="auto" w:line="276"/>
        <w:ind w:right="57"/>
        <w:jc w:val="both"/>
        <w:rPr>
          <w:b/>
          <w:bCs/>
        </w:rPr>
      </w:pPr>
      <w:r>
        <w:rPr>
          <w:b/>
          <w:bCs/>
          <w:color w:val="111111"/>
          <w:sz w:val="24"/>
          <w:szCs w:val="24"/>
        </w:rPr>
        <w:t>8.1 Solicitação de Reservas</w:t>
      </w:r>
    </w:p>
    <w:p>
      <w:pPr>
        <w:pStyle w:val="Normal"/>
        <w:spacing w:lineRule="auto" w:line="276"/>
        <w:ind w:right="57"/>
        <w:jc w:val="both"/>
        <w:rPr/>
      </w:pPr>
      <w:r>
        <w:rPr>
          <w:color w:val="111111"/>
          <w:sz w:val="24"/>
          <w:szCs w:val="24"/>
        </w:rPr>
        <w:t>8.1.1 As reservas de voos serão feitas pela CONTRATADA mediante solicitação do Conselho Regional de Odontologia do Estado de Mato Grosso, representado pelo Fiscal de Contrato</w:t>
      </w:r>
    </w:p>
    <w:p>
      <w:pPr>
        <w:pStyle w:val="Normal"/>
        <w:spacing w:lineRule="auto" w:line="276"/>
        <w:ind w:right="57"/>
        <w:jc w:val="both"/>
        <w:rPr/>
      </w:pPr>
      <w:r>
        <w:rPr>
          <w:color w:val="111111"/>
          <w:sz w:val="24"/>
          <w:szCs w:val="24"/>
        </w:rPr>
        <w:t>8.1.2 Mediante a solicitação do CRO/MT, a CONTRATADA deverá apresentar, via e-mail, demonstrativo de todas as opções de vôos  e passagens terrestres com as devidas conexões e/ou escalas, horários de partida e chegada, inclusive tarifas e taxas de embarque discriminadas por companhia aérea e rodoviária, para o trecho solicitado;</w:t>
      </w:r>
    </w:p>
    <w:p>
      <w:pPr>
        <w:pStyle w:val="Normal"/>
        <w:spacing w:lineRule="auto" w:line="276"/>
        <w:ind w:right="57"/>
        <w:jc w:val="both"/>
        <w:rPr/>
      </w:pPr>
      <w:r>
        <w:rPr>
          <w:color w:val="111111"/>
          <w:sz w:val="24"/>
          <w:szCs w:val="24"/>
        </w:rPr>
        <w:t xml:space="preserve">8.1.3 Feita a análise e seleção da melhor opção, o Fiscal do Contrato fará a solicitação da reserva, indicando o nome e demais dados pessoais necessários dos beneficiários; </w:t>
      </w:r>
    </w:p>
    <w:p>
      <w:pPr>
        <w:pStyle w:val="Normal"/>
        <w:spacing w:lineRule="auto" w:line="276"/>
        <w:ind w:right="57"/>
        <w:jc w:val="both"/>
        <w:rPr/>
      </w:pPr>
      <w:r>
        <w:rPr>
          <w:color w:val="111111"/>
          <w:sz w:val="24"/>
          <w:szCs w:val="24"/>
        </w:rPr>
        <w:t xml:space="preserve">8.1.4 As reservas deverão ser confirmadas pela contratada em até 2 (duas) horas contadas a partir da solicitação, mediante o envio de demonstrativo das reservas, no qual deve constar, além dos nomes dos beneficiários, os números dos voos escolhidos, percursos e horários, bem como as tarifas correspondentes e as taxas de embarque discriminadas; </w:t>
      </w:r>
    </w:p>
    <w:p>
      <w:pPr>
        <w:pStyle w:val="Normal"/>
        <w:spacing w:lineRule="auto" w:line="276"/>
        <w:ind w:right="57"/>
        <w:jc w:val="both"/>
        <w:rPr/>
      </w:pPr>
      <w:r>
        <w:rPr>
          <w:color w:val="111111"/>
          <w:sz w:val="24"/>
          <w:szCs w:val="24"/>
        </w:rPr>
        <w:t xml:space="preserve">8.1.5 Na fase de solicitação de reservas, os contatos entre o Conselho e a contratada deverão se realizar, preferencialmente, por telefone, e-mail ou outro meio mais célere, sendo necessariamente emitidos os documentos citados por meio de e-mail; </w:t>
      </w:r>
    </w:p>
    <w:p>
      <w:pPr>
        <w:pStyle w:val="Normal"/>
        <w:spacing w:lineRule="auto" w:line="276"/>
        <w:ind w:right="57"/>
        <w:jc w:val="both"/>
        <w:rPr/>
      </w:pPr>
      <w:r>
        <w:rPr>
          <w:color w:val="111111"/>
          <w:sz w:val="24"/>
          <w:szCs w:val="24"/>
        </w:rPr>
        <w:t xml:space="preserve">8.1.6 A CONTRATADA deve providenciar, diariamente, a reativação da reserva a fim de garantir o valor da tarifa mais econômica da passagem. </w:t>
      </w:r>
    </w:p>
    <w:p>
      <w:pPr>
        <w:pStyle w:val="Normal"/>
        <w:rPr>
          <w:color w:val="000000"/>
          <w:sz w:val="22"/>
        </w:rPr>
      </w:pPr>
      <w:r>
        <w:rPr>
          <w:color w:val="000000"/>
          <w:sz w:val="22"/>
        </w:rPr>
      </w:r>
    </w:p>
    <w:p>
      <w:pPr>
        <w:pStyle w:val="Normal"/>
        <w:spacing w:lineRule="auto" w:line="276"/>
        <w:ind w:left="57" w:right="-850"/>
        <w:jc w:val="both"/>
        <w:rPr>
          <w:b/>
          <w:bCs/>
        </w:rPr>
      </w:pPr>
      <w:r>
        <w:rPr>
          <w:b/>
          <w:bCs/>
          <w:color w:val="111111"/>
          <w:sz w:val="24"/>
        </w:rPr>
        <w:t>8.2 Solicitação de Remarcação ou Cancelamento.</w:t>
      </w:r>
    </w:p>
    <w:p>
      <w:pPr>
        <w:pStyle w:val="Normal"/>
        <w:spacing w:lineRule="auto" w:line="276"/>
        <w:ind w:left="57" w:right="57"/>
        <w:jc w:val="both"/>
        <w:rPr/>
      </w:pPr>
      <w:r>
        <w:rPr>
          <w:color w:val="111111"/>
          <w:sz w:val="24"/>
        </w:rPr>
        <w:t xml:space="preserve">8.2.1 O CROMT poderá </w:t>
      </w:r>
      <w:r>
        <w:rPr>
          <w:color w:val="000000"/>
          <w:sz w:val="22"/>
        </w:rPr>
        <w:t xml:space="preserve">rejeitar no todo ou em parte, as reservas executadas em desacordo com as solicitações do </w:t>
      </w:r>
      <w:r>
        <w:rPr>
          <w:color w:val="000000"/>
          <w:sz w:val="24"/>
          <w:szCs w:val="24"/>
        </w:rPr>
        <w:t xml:space="preserve">setor competente, exigindo inclusive a remarcação ou cancelamento das mesmas; </w:t>
      </w:r>
    </w:p>
    <w:p>
      <w:pPr>
        <w:pStyle w:val="Normal"/>
        <w:spacing w:lineRule="auto" w:line="276"/>
        <w:ind w:left="57" w:right="-850"/>
        <w:jc w:val="both"/>
        <w:rPr>
          <w:sz w:val="24"/>
          <w:szCs w:val="24"/>
        </w:rPr>
      </w:pPr>
      <w:r>
        <w:rPr>
          <w:color w:val="111111"/>
          <w:sz w:val="24"/>
          <w:szCs w:val="24"/>
        </w:rPr>
        <w:t xml:space="preserve">8.2.2 A </w:t>
      </w:r>
      <w:r>
        <w:rPr>
          <w:color w:val="000000"/>
          <w:sz w:val="24"/>
          <w:szCs w:val="24"/>
        </w:rPr>
        <w:t xml:space="preserve">remarcação ou cancelamento poderá ser motivada também por conveniência do CROMT; </w:t>
      </w:r>
    </w:p>
    <w:p>
      <w:pPr>
        <w:pStyle w:val="Default"/>
        <w:ind w:left="57"/>
        <w:jc w:val="both"/>
        <w:rPr/>
      </w:pPr>
      <w:r>
        <w:rPr/>
        <w:t>8.2.3</w:t>
      </w:r>
      <w:r>
        <w:rPr>
          <w:b/>
        </w:rPr>
        <w:t xml:space="preserve"> </w:t>
      </w:r>
      <w:r>
        <w:rPr/>
        <w:t xml:space="preserve">Em qualquer caso, em se tratando de remarcação ou cancelamento de reservas, os procedimentos adotados pelas partes deverão seguir os ritos estabelecidos no item 6.1. </w:t>
      </w:r>
    </w:p>
    <w:p>
      <w:pPr>
        <w:pStyle w:val="Normal"/>
        <w:spacing w:lineRule="auto" w:line="276"/>
        <w:ind w:left="57" w:right="-850"/>
        <w:jc w:val="both"/>
        <w:rPr>
          <w:b/>
          <w:bCs/>
          <w:sz w:val="24"/>
          <w:szCs w:val="24"/>
        </w:rPr>
      </w:pPr>
      <w:r>
        <w:rPr>
          <w:b/>
          <w:bCs/>
          <w:sz w:val="24"/>
          <w:szCs w:val="24"/>
        </w:rPr>
      </w:r>
    </w:p>
    <w:p>
      <w:pPr>
        <w:pStyle w:val="Normal"/>
        <w:spacing w:lineRule="auto" w:line="276"/>
        <w:ind w:left="57" w:right="-850"/>
        <w:jc w:val="both"/>
        <w:rPr>
          <w:b/>
          <w:bCs/>
          <w:sz w:val="24"/>
          <w:szCs w:val="24"/>
        </w:rPr>
      </w:pPr>
      <w:r>
        <w:rPr>
          <w:b/>
          <w:bCs/>
          <w:color w:val="111111"/>
          <w:sz w:val="24"/>
          <w:szCs w:val="24"/>
        </w:rPr>
        <w:t>8.3 Emissão e entrega de passagem.</w:t>
      </w:r>
    </w:p>
    <w:p>
      <w:pPr>
        <w:pStyle w:val="Normal"/>
        <w:spacing w:lineRule="auto" w:line="276"/>
        <w:ind w:right="57"/>
        <w:jc w:val="both"/>
        <w:rPr/>
      </w:pPr>
      <w:r>
        <w:rPr>
          <w:color w:val="111111"/>
          <w:sz w:val="24"/>
          <w:szCs w:val="24"/>
        </w:rPr>
        <w:t xml:space="preserve">8.3.1 </w:t>
      </w:r>
      <w:r>
        <w:rPr>
          <w:color w:val="000000"/>
          <w:sz w:val="24"/>
          <w:szCs w:val="24"/>
        </w:rPr>
        <w:t xml:space="preserve">A passagem só poderá ser emitida mediante solicitação por escrito do CROMT, na qual deverão constar os dados referentes ao (s) voo (s) selecionados, bem como o nome dos membros, servidores ou colaboradores a quem se destinam; </w:t>
      </w:r>
    </w:p>
    <w:p>
      <w:pPr>
        <w:pStyle w:val="Default"/>
        <w:spacing w:before="0" w:after="142"/>
        <w:jc w:val="both"/>
        <w:rPr/>
      </w:pPr>
      <w:r>
        <w:rPr>
          <w:rFonts w:eastAsia="Times New Roman"/>
          <w:lang w:eastAsia="pt-BR"/>
        </w:rPr>
        <w:t>8.3.2 A emissão de passagem, sem a autorização conjunta e expressa do Fiscal do Contrato, é de inteira responsabilidade da CONTRATADA, sem direito ao pagamento com recursos financeiros à conta do CROMT;</w:t>
      </w:r>
      <w:r>
        <w:rPr/>
        <w:t xml:space="preserve"> </w:t>
      </w:r>
    </w:p>
    <w:p>
      <w:pPr>
        <w:pStyle w:val="Default"/>
        <w:spacing w:before="0" w:after="142"/>
        <w:jc w:val="both"/>
        <w:rPr/>
      </w:pPr>
      <w:r>
        <w:rPr/>
        <w:t xml:space="preserve">8.3.3 O prazo para entrega ou envio do localizador da passagem será de no máximo 02 (duas) horas após a solicitação da emissão no caso de viagens nacionais e 5 (cinco) horas para viagens internacionais; </w:t>
      </w:r>
    </w:p>
    <w:p>
      <w:pPr>
        <w:pStyle w:val="Default"/>
        <w:spacing w:before="0" w:after="142"/>
        <w:jc w:val="both"/>
        <w:rPr/>
      </w:pPr>
      <w:r>
        <w:rPr/>
        <w:t xml:space="preserve">8.3.4 A entrega da passagem deverá ser feita ao gestor do contrato, ou a servidor por ele indicado, via e-mail ou, quando impossível, no endereço do beneficiário ou no local indicado pelo requisitante; </w:t>
      </w:r>
    </w:p>
    <w:p>
      <w:pPr>
        <w:pStyle w:val="Default"/>
        <w:spacing w:before="0" w:after="142"/>
        <w:rPr/>
      </w:pPr>
      <w:r>
        <w:rPr/>
        <w:t xml:space="preserve">8.3.5 Em casos excepcionais e a critério do Conselho, a entrega da passagem deverá ser efetuada no endereço do beneficiário ou no local indicado pelo requisitante. </w:t>
      </w:r>
    </w:p>
    <w:p>
      <w:pPr>
        <w:pStyle w:val="Default"/>
        <w:spacing w:before="0" w:after="142"/>
        <w:jc w:val="both"/>
        <w:rPr/>
      </w:pPr>
      <w:r>
        <w:rPr/>
        <w:t xml:space="preserve">8.3.6 Em caso de pane no sistema informatizado da companhia ou da CONTRATADA, e se o prazo para entrega da passagem for escasso, a empresa deverá dirigir-se diretamente ao aeroporto ou sede da respectiva companhia aérea e rodoviária para emissão da mesma; </w:t>
      </w:r>
    </w:p>
    <w:p>
      <w:pPr>
        <w:pStyle w:val="Default"/>
        <w:rPr/>
      </w:pPr>
      <w:r>
        <w:rPr/>
        <w:t xml:space="preserve">8.3.7 A passagem que apresentar qualquer irregularidade deverá ser substituída no prazo máximo de 03 (três) horas, contadas a partir da comunicação, por escrito, do CROMT; </w:t>
      </w:r>
    </w:p>
    <w:p>
      <w:pPr>
        <w:pStyle w:val="Default"/>
        <w:rPr/>
      </w:pPr>
      <w:r>
        <w:rPr/>
      </w:r>
    </w:p>
    <w:p>
      <w:pPr>
        <w:pStyle w:val="Default"/>
        <w:jc w:val="both"/>
        <w:rPr/>
      </w:pPr>
      <w:r>
        <w:rPr>
          <w:b/>
        </w:rPr>
        <w:t xml:space="preserve">8.3.8 CONTRATADA compromete-se a reembolsar à CONTRATANTE a passagem não utilizada, devido à mudança de programação, ou emitir outra de mesmo valor, para outro trecho e beneficiário, segundo opção da CONTRATANTE. </w:t>
      </w:r>
    </w:p>
    <w:p>
      <w:pPr>
        <w:pStyle w:val="BodyText"/>
        <w:shd w:val="clear" w:color="auto" w:fill="D9D9D9"/>
        <w:spacing w:lineRule="auto" w:line="276"/>
        <w:jc w:val="both"/>
        <w:rPr>
          <w:b/>
          <w:sz w:val="24"/>
          <w:szCs w:val="24"/>
        </w:rPr>
      </w:pPr>
      <w:r>
        <w:rPr>
          <w:b/>
          <w:bCs w:val="false"/>
          <w:sz w:val="24"/>
          <w:szCs w:val="24"/>
        </w:rPr>
        <w:t>9 - CLÁUSULA NONA – FISCALIZAÇÃO</w:t>
      </w:r>
    </w:p>
    <w:p>
      <w:pPr>
        <w:pStyle w:val="Normal"/>
        <w:spacing w:lineRule="auto" w:line="276" w:before="0" w:after="200"/>
        <w:jc w:val="both"/>
        <w:rPr>
          <w:sz w:val="24"/>
          <w:szCs w:val="24"/>
        </w:rPr>
      </w:pPr>
      <w:r>
        <w:rPr>
          <w:sz w:val="24"/>
          <w:szCs w:val="24"/>
        </w:rPr>
        <w:t xml:space="preserve">9.1. O fiscal será designado por meio de Portaria expedido pelo Conselho Regional de Odontologia, devendo ser publicado no Diário Oficial da União em que o mesmo será responsável pelo gerenciamento e fiscalização do contrato. </w:t>
      </w:r>
    </w:p>
    <w:p>
      <w:pPr>
        <w:pStyle w:val="Normal"/>
        <w:spacing w:lineRule="auto" w:line="276" w:before="0" w:after="200"/>
        <w:jc w:val="both"/>
        <w:rPr>
          <w:sz w:val="24"/>
          <w:szCs w:val="24"/>
        </w:rPr>
      </w:pPr>
      <w:r>
        <w:rPr>
          <w:sz w:val="24"/>
          <w:szCs w:val="24"/>
        </w:rPr>
        <w:t>Caberá ao fiscal:</w:t>
      </w:r>
    </w:p>
    <w:p>
      <w:pPr>
        <w:pStyle w:val="ListParagraph"/>
        <w:numPr>
          <w:ilvl w:val="0"/>
          <w:numId w:val="27"/>
        </w:numPr>
        <w:spacing w:lineRule="auto" w:line="276" w:before="0" w:after="200"/>
        <w:contextualSpacing/>
        <w:jc w:val="both"/>
        <w:rPr>
          <w:sz w:val="24"/>
          <w:szCs w:val="24"/>
        </w:rPr>
      </w:pPr>
      <w:r>
        <w:rPr>
          <w:sz w:val="24"/>
          <w:szCs w:val="24"/>
        </w:rPr>
        <w:t>Realizar conferências das notas ficais atestadas do contrato;</w:t>
      </w:r>
    </w:p>
    <w:p>
      <w:pPr>
        <w:pStyle w:val="ListParagraph"/>
        <w:numPr>
          <w:ilvl w:val="0"/>
          <w:numId w:val="27"/>
        </w:numPr>
        <w:spacing w:lineRule="auto" w:line="276" w:before="0" w:after="200"/>
        <w:contextualSpacing/>
        <w:jc w:val="both"/>
        <w:rPr>
          <w:sz w:val="24"/>
          <w:szCs w:val="24"/>
        </w:rPr>
      </w:pPr>
      <w:r>
        <w:rPr>
          <w:sz w:val="24"/>
          <w:szCs w:val="24"/>
        </w:rPr>
        <w:t>Atentar aos valores a serem pagos, tomando cuidado para que os pagamentos não ultrapassem o valor do contrato;</w:t>
      </w:r>
    </w:p>
    <w:p>
      <w:pPr>
        <w:pStyle w:val="ListParagraph"/>
        <w:numPr>
          <w:ilvl w:val="0"/>
          <w:numId w:val="27"/>
        </w:numPr>
        <w:spacing w:lineRule="auto" w:line="276" w:before="0" w:after="200"/>
        <w:contextualSpacing/>
        <w:jc w:val="both"/>
        <w:rPr>
          <w:sz w:val="24"/>
          <w:szCs w:val="24"/>
        </w:rPr>
      </w:pPr>
      <w:r>
        <w:rPr>
          <w:sz w:val="24"/>
          <w:szCs w:val="24"/>
        </w:rPr>
        <w:t>Orientar: estabelecer diretrizes, dar e receber informações sobrea a execução do contrato;</w:t>
      </w:r>
    </w:p>
    <w:p>
      <w:pPr>
        <w:pStyle w:val="ListParagraph"/>
        <w:numPr>
          <w:ilvl w:val="0"/>
          <w:numId w:val="27"/>
        </w:numPr>
        <w:spacing w:lineRule="auto" w:line="276" w:before="0" w:after="200"/>
        <w:contextualSpacing/>
        <w:jc w:val="both"/>
        <w:rPr>
          <w:sz w:val="24"/>
          <w:szCs w:val="24"/>
        </w:rPr>
      </w:pPr>
      <w:r>
        <w:rPr>
          <w:sz w:val="24"/>
          <w:szCs w:val="24"/>
        </w:rPr>
        <w:t xml:space="preserve">Fiscalizar: verificar a execução do serviço se está de acordo com a execução firmado no contrato. </w:t>
      </w:r>
    </w:p>
    <w:p>
      <w:pPr>
        <w:pStyle w:val="ListParagraph"/>
        <w:numPr>
          <w:ilvl w:val="0"/>
          <w:numId w:val="27"/>
        </w:numPr>
        <w:spacing w:lineRule="auto" w:line="276" w:before="0" w:after="200"/>
        <w:contextualSpacing/>
        <w:jc w:val="both"/>
        <w:rPr>
          <w:sz w:val="24"/>
          <w:szCs w:val="24"/>
        </w:rPr>
      </w:pPr>
      <w:r>
        <w:rPr>
          <w:sz w:val="24"/>
          <w:szCs w:val="24"/>
        </w:rPr>
        <w:t>Interditar: paralisar a execução do contrato por estar em desacordo com o pactuado;</w:t>
      </w:r>
    </w:p>
    <w:p>
      <w:pPr>
        <w:pStyle w:val="ListParagraph"/>
        <w:numPr>
          <w:ilvl w:val="0"/>
          <w:numId w:val="27"/>
        </w:numPr>
        <w:spacing w:lineRule="auto" w:line="276" w:before="0" w:after="200"/>
        <w:contextualSpacing/>
        <w:jc w:val="both"/>
        <w:rPr>
          <w:sz w:val="24"/>
          <w:szCs w:val="24"/>
        </w:rPr>
      </w:pPr>
      <w:r>
        <w:rPr>
          <w:sz w:val="24"/>
          <w:szCs w:val="24"/>
        </w:rPr>
        <w:t xml:space="preserve">Informar: a Administração o cometimento de falhas e irregularidades detectadas pela Contratada que implique comprometimento da execução do Contrato. </w:t>
      </w:r>
    </w:p>
    <w:p>
      <w:pPr>
        <w:pStyle w:val="ListParagraph"/>
        <w:numPr>
          <w:ilvl w:val="0"/>
          <w:numId w:val="27"/>
        </w:numPr>
        <w:spacing w:lineRule="auto" w:line="276" w:before="0" w:after="200"/>
        <w:contextualSpacing/>
        <w:jc w:val="both"/>
        <w:rPr>
          <w:sz w:val="24"/>
          <w:szCs w:val="24"/>
        </w:rPr>
      </w:pPr>
      <w:r>
        <w:rPr>
          <w:sz w:val="24"/>
          <w:szCs w:val="24"/>
        </w:rPr>
        <w:t>Formalizar, sempre, os entendimentos com a Contratada ou seu Preposto, adotando todas as medidas que permitam compatibilizar as obrigações bilaterais;</w:t>
      </w:r>
    </w:p>
    <w:p>
      <w:pPr>
        <w:pStyle w:val="ListParagraph"/>
        <w:numPr>
          <w:ilvl w:val="0"/>
          <w:numId w:val="27"/>
        </w:numPr>
        <w:spacing w:lineRule="auto" w:line="276" w:before="0" w:after="200"/>
        <w:contextualSpacing/>
        <w:jc w:val="both"/>
        <w:rPr>
          <w:sz w:val="24"/>
          <w:szCs w:val="24"/>
        </w:rPr>
      </w:pPr>
      <w:r>
        <w:rPr>
          <w:sz w:val="24"/>
          <w:szCs w:val="24"/>
        </w:rPr>
        <w:t>Avaliar constantemente a qualidade da execução contratual, propondo, sempre que cabíveis medidas que visem reduzir gastos e racionalizar os serviços.</w:t>
      </w:r>
    </w:p>
    <w:p>
      <w:pPr>
        <w:pStyle w:val="ListParagraph"/>
        <w:numPr>
          <w:ilvl w:val="0"/>
          <w:numId w:val="27"/>
        </w:numPr>
        <w:spacing w:lineRule="auto" w:line="276" w:before="0" w:after="200"/>
        <w:contextualSpacing/>
        <w:jc w:val="both"/>
        <w:rPr>
          <w:sz w:val="24"/>
          <w:szCs w:val="24"/>
        </w:rPr>
      </w:pPr>
      <w:r>
        <w:rPr>
          <w:sz w:val="24"/>
          <w:szCs w:val="24"/>
        </w:rPr>
        <w:t xml:space="preserve">Observar rigorosamente os princípios legais e éticos em todos os atos inerentes às suas atribuições, agindo com transparência no desempenho das suas atividades. </w:t>
      </w:r>
    </w:p>
    <w:p>
      <w:pPr>
        <w:pStyle w:val="BodyText"/>
        <w:shd w:val="clear" w:color="auto" w:fill="D9D9D9"/>
        <w:spacing w:lineRule="auto" w:line="276"/>
        <w:jc w:val="both"/>
        <w:rPr>
          <w:b/>
          <w:sz w:val="24"/>
          <w:szCs w:val="24"/>
        </w:rPr>
      </w:pPr>
      <w:r>
        <w:rPr>
          <w:b/>
          <w:bCs w:val="false"/>
          <w:sz w:val="24"/>
          <w:szCs w:val="24"/>
        </w:rPr>
        <w:t xml:space="preserve">10 - CLÁUSULA DÉCIMA – OBRIGAÇÕES DA CONTRATANTE </w:t>
      </w:r>
    </w:p>
    <w:p>
      <w:pPr>
        <w:pStyle w:val="Normal"/>
        <w:widowControl w:val="false"/>
        <w:tabs>
          <w:tab w:val="clear" w:pos="708"/>
          <w:tab w:val="left" w:pos="932" w:leader="none"/>
        </w:tabs>
        <w:spacing w:lineRule="auto" w:line="276"/>
        <w:jc w:val="both"/>
        <w:rPr>
          <w:sz w:val="24"/>
          <w:szCs w:val="24"/>
        </w:rPr>
      </w:pPr>
      <w:r>
        <w:rPr>
          <w:bCs/>
          <w:sz w:val="24"/>
          <w:szCs w:val="24"/>
          <w:lang w:val="pt-PT"/>
        </w:rPr>
        <w:t xml:space="preserve">10.1 </w:t>
      </w:r>
      <w:r>
        <w:rPr>
          <w:color w:val="000000"/>
          <w:sz w:val="24"/>
          <w:szCs w:val="24"/>
        </w:rPr>
        <w:t>Proporcionar todas as facilidades para que a CONTRATADA possa desempenhar seus serviços, dentro das normas do contrato assinado;</w:t>
      </w:r>
    </w:p>
    <w:p>
      <w:pPr>
        <w:pStyle w:val="Normal"/>
        <w:widowControl w:val="false"/>
        <w:tabs>
          <w:tab w:val="clear" w:pos="708"/>
          <w:tab w:val="left" w:pos="932" w:leader="none"/>
        </w:tabs>
        <w:spacing w:lineRule="auto" w:line="276"/>
        <w:jc w:val="both"/>
        <w:rPr>
          <w:color w:val="000000"/>
        </w:rPr>
      </w:pPr>
      <w:r>
        <w:rPr>
          <w:color w:val="000000"/>
        </w:rPr>
      </w:r>
    </w:p>
    <w:p>
      <w:pPr>
        <w:pStyle w:val="Normal"/>
        <w:widowControl w:val="false"/>
        <w:tabs>
          <w:tab w:val="clear" w:pos="708"/>
          <w:tab w:val="left" w:pos="932" w:leader="none"/>
        </w:tabs>
        <w:spacing w:lineRule="auto" w:line="276"/>
        <w:jc w:val="both"/>
        <w:rPr>
          <w:sz w:val="24"/>
          <w:szCs w:val="24"/>
        </w:rPr>
      </w:pPr>
      <w:r>
        <w:rPr>
          <w:color w:val="000000"/>
          <w:sz w:val="24"/>
          <w:szCs w:val="24"/>
        </w:rPr>
        <w:t>10.2 Dirimir todos os questionamentos e/ou dúvidas da CONTRATADA, através da fiscalização do contrato;</w:t>
      </w:r>
    </w:p>
    <w:p>
      <w:pPr>
        <w:pStyle w:val="Normal"/>
        <w:widowControl w:val="false"/>
        <w:tabs>
          <w:tab w:val="clear" w:pos="708"/>
          <w:tab w:val="left" w:pos="932" w:leader="none"/>
        </w:tabs>
        <w:spacing w:lineRule="auto" w:line="276"/>
        <w:jc w:val="both"/>
        <w:rPr>
          <w:color w:val="000000"/>
        </w:rPr>
      </w:pPr>
      <w:r>
        <w:rPr>
          <w:color w:val="000000"/>
        </w:rPr>
      </w:r>
    </w:p>
    <w:p>
      <w:pPr>
        <w:pStyle w:val="Normal"/>
        <w:widowControl w:val="false"/>
        <w:tabs>
          <w:tab w:val="clear" w:pos="708"/>
          <w:tab w:val="left" w:pos="932" w:leader="none"/>
        </w:tabs>
        <w:spacing w:lineRule="auto" w:line="276"/>
        <w:jc w:val="both"/>
        <w:rPr>
          <w:sz w:val="24"/>
          <w:szCs w:val="24"/>
        </w:rPr>
      </w:pPr>
      <w:r>
        <w:rPr>
          <w:color w:val="000000"/>
          <w:sz w:val="24"/>
          <w:szCs w:val="24"/>
        </w:rPr>
        <w:t>10.3 Solicitar à contratada formalmente, em tempo hábil, por e-mail ou outro meio eletrônico, a disponibilidade de passagens aérea e rodoviárias, bem como a emissão dos bilhetes eletrônicos, observado o que dispõem na cláusula de pagamento;</w:t>
      </w:r>
    </w:p>
    <w:p>
      <w:pPr>
        <w:pStyle w:val="Normal"/>
        <w:widowControl w:val="false"/>
        <w:tabs>
          <w:tab w:val="clear" w:pos="708"/>
          <w:tab w:val="left" w:pos="932" w:leader="none"/>
        </w:tabs>
        <w:jc w:val="both"/>
        <w:rPr>
          <w:color w:val="000000"/>
        </w:rPr>
      </w:pPr>
      <w:r>
        <w:rPr>
          <w:color w:val="000000"/>
        </w:rPr>
      </w:r>
    </w:p>
    <w:p>
      <w:pPr>
        <w:pStyle w:val="Normal"/>
        <w:widowControl w:val="false"/>
        <w:tabs>
          <w:tab w:val="clear" w:pos="708"/>
          <w:tab w:val="left" w:pos="932" w:leader="none"/>
        </w:tabs>
        <w:spacing w:lineRule="auto" w:line="276"/>
        <w:jc w:val="both"/>
        <w:rPr>
          <w:sz w:val="24"/>
          <w:szCs w:val="24"/>
        </w:rPr>
      </w:pPr>
      <w:r>
        <w:rPr>
          <w:color w:val="000000"/>
          <w:sz w:val="24"/>
          <w:szCs w:val="24"/>
        </w:rPr>
        <w:t>10.4 Efetuar os pagamentos nas condições e preços pactuados.</w:t>
      </w:r>
    </w:p>
    <w:p>
      <w:pPr>
        <w:pStyle w:val="Normal"/>
        <w:widowControl w:val="false"/>
        <w:tabs>
          <w:tab w:val="clear" w:pos="708"/>
          <w:tab w:val="left" w:pos="932" w:leader="none"/>
        </w:tabs>
        <w:jc w:val="both"/>
        <w:rPr>
          <w:color w:val="000000"/>
        </w:rPr>
      </w:pPr>
      <w:r>
        <w:rPr>
          <w:color w:val="000000"/>
        </w:rPr>
      </w:r>
    </w:p>
    <w:p>
      <w:pPr>
        <w:pStyle w:val="Normal"/>
        <w:widowControl w:val="false"/>
        <w:tabs>
          <w:tab w:val="clear" w:pos="708"/>
          <w:tab w:val="left" w:pos="932" w:leader="none"/>
        </w:tabs>
        <w:spacing w:lineRule="auto" w:line="276"/>
        <w:jc w:val="both"/>
        <w:rPr>
          <w:sz w:val="24"/>
          <w:szCs w:val="24"/>
        </w:rPr>
      </w:pPr>
      <w:r>
        <w:rPr>
          <w:color w:val="000000"/>
          <w:sz w:val="24"/>
          <w:szCs w:val="24"/>
        </w:rPr>
        <w:t>10.5 Promover, na forma da Lei Federal 14.133/21, o acompanhamento e a fiscalização da execução do objeto do contrato, anotando em registro próprio, as falhas detectadas e comunicando as ocorrências de quaisquer fatos que, a seu critério, exijam medidas corretivas por parte da contratada. A existência de fiscalização do CROMT de modo algum atenua ou exime de responsabilidade a CONTRATADA, por qualquer falha na execução do contrato.</w:t>
      </w:r>
    </w:p>
    <w:p>
      <w:pPr>
        <w:pStyle w:val="Normal"/>
        <w:widowControl w:val="false"/>
        <w:tabs>
          <w:tab w:val="clear" w:pos="708"/>
          <w:tab w:val="left" w:pos="932" w:leader="none"/>
        </w:tabs>
        <w:jc w:val="both"/>
        <w:rPr>
          <w:color w:val="000000"/>
        </w:rPr>
      </w:pPr>
      <w:r>
        <w:rPr>
          <w:color w:val="000000"/>
        </w:rPr>
      </w:r>
    </w:p>
    <w:p>
      <w:pPr>
        <w:pStyle w:val="Normal"/>
        <w:widowControl w:val="false"/>
        <w:tabs>
          <w:tab w:val="clear" w:pos="708"/>
          <w:tab w:val="left" w:pos="932" w:leader="none"/>
        </w:tabs>
        <w:spacing w:lineRule="auto" w:line="276"/>
        <w:jc w:val="both"/>
        <w:rPr>
          <w:sz w:val="24"/>
          <w:szCs w:val="24"/>
        </w:rPr>
      </w:pPr>
      <w:r>
        <w:rPr>
          <w:color w:val="000000"/>
          <w:sz w:val="24"/>
          <w:szCs w:val="24"/>
        </w:rPr>
        <w:t>10.6 Direitos do Contratante:</w:t>
      </w:r>
    </w:p>
    <w:p>
      <w:pPr>
        <w:pStyle w:val="Normal"/>
        <w:widowControl w:val="false"/>
        <w:tabs>
          <w:tab w:val="clear" w:pos="708"/>
          <w:tab w:val="left" w:pos="932" w:leader="none"/>
        </w:tabs>
        <w:spacing w:lineRule="auto" w:line="276"/>
        <w:ind w:left="705"/>
        <w:jc w:val="both"/>
        <w:rPr>
          <w:sz w:val="24"/>
          <w:szCs w:val="24"/>
        </w:rPr>
      </w:pPr>
      <w:r>
        <w:rPr>
          <w:color w:val="000000"/>
          <w:sz w:val="24"/>
          <w:szCs w:val="24"/>
        </w:rPr>
        <w:t>Rejeitar, no todo ou em parte, os serviços executados em desacordo com as exigências destas especificações técnicas;</w:t>
      </w:r>
    </w:p>
    <w:p>
      <w:pPr>
        <w:pStyle w:val="Normal"/>
        <w:widowControl w:val="false"/>
        <w:tabs>
          <w:tab w:val="clear" w:pos="708"/>
          <w:tab w:val="left" w:pos="932" w:leader="none"/>
        </w:tabs>
        <w:spacing w:lineRule="auto" w:line="276"/>
        <w:ind w:left="705"/>
        <w:jc w:val="both"/>
        <w:rPr>
          <w:sz w:val="24"/>
          <w:szCs w:val="24"/>
        </w:rPr>
      </w:pPr>
      <w:r>
        <w:rPr>
          <w:color w:val="000000"/>
          <w:sz w:val="24"/>
          <w:szCs w:val="24"/>
        </w:rPr>
        <w:t xml:space="preserve">Solicitar, sempre que julgar necessário, a comprovação do valor vigente das tarifas, à data da emissão da passagem. </w:t>
      </w:r>
    </w:p>
    <w:p>
      <w:pPr>
        <w:pStyle w:val="Normal"/>
        <w:widowControl w:val="false"/>
        <w:tabs>
          <w:tab w:val="clear" w:pos="708"/>
          <w:tab w:val="left" w:pos="932" w:leader="none"/>
        </w:tabs>
        <w:ind w:left="720"/>
        <w:jc w:val="both"/>
        <w:rPr>
          <w:color w:val="000000"/>
          <w:sz w:val="24"/>
          <w:szCs w:val="24"/>
        </w:rPr>
      </w:pPr>
      <w:r>
        <w:rPr>
          <w:color w:val="000000"/>
          <w:sz w:val="24"/>
          <w:szCs w:val="24"/>
        </w:rPr>
      </w:r>
    </w:p>
    <w:p>
      <w:pPr>
        <w:pStyle w:val="Normal"/>
        <w:spacing w:lineRule="auto" w:line="276"/>
        <w:jc w:val="both"/>
        <w:rPr>
          <w:sz w:val="24"/>
          <w:szCs w:val="24"/>
        </w:rPr>
      </w:pPr>
      <w:r>
        <w:rPr>
          <w:bCs/>
          <w:sz w:val="24"/>
          <w:szCs w:val="24"/>
          <w:lang w:val="pt-PT"/>
        </w:rPr>
        <w:t>10.7 Da gestão e da Fiscalização do Contrato</w:t>
      </w:r>
    </w:p>
    <w:p>
      <w:pPr>
        <w:pStyle w:val="Default"/>
        <w:spacing w:before="0" w:after="142"/>
        <w:rPr/>
      </w:pPr>
      <w:r>
        <w:rPr/>
        <w:t xml:space="preserve">10.7.1 A gestão e a fiscalização do contrato competirão a servidor designado através de Portaria expedida pela Presidência do CROMT. </w:t>
      </w:r>
    </w:p>
    <w:p>
      <w:pPr>
        <w:pStyle w:val="Default"/>
        <w:spacing w:before="0" w:after="142"/>
        <w:rPr/>
      </w:pPr>
      <w:r>
        <w:rPr/>
        <w:t xml:space="preserve">10.7.2 A fiscalização, que competirá a um servidor designado pelo CROMT, terá como atribuições: </w:t>
      </w:r>
    </w:p>
    <w:p>
      <w:pPr>
        <w:pStyle w:val="Default"/>
        <w:spacing w:before="0" w:after="142"/>
        <w:rPr/>
      </w:pPr>
      <w:r>
        <w:rPr>
          <w:b/>
        </w:rPr>
        <w:t xml:space="preserve">a) </w:t>
      </w:r>
      <w:r>
        <w:rPr/>
        <w:t xml:space="preserve">Providenciar, junto à CONTRATADA, a cotação, emissão, remarcação e cancelamento das passagens aérea e rodoviárias, após a autorização expressa por parte da autoridade competente; </w:t>
      </w:r>
    </w:p>
    <w:p>
      <w:pPr>
        <w:pStyle w:val="Default"/>
        <w:spacing w:before="0" w:after="142"/>
        <w:rPr/>
      </w:pPr>
      <w:r>
        <w:rPr>
          <w:b/>
        </w:rPr>
        <w:t xml:space="preserve">b) </w:t>
      </w:r>
      <w:r>
        <w:rPr/>
        <w:t xml:space="preserve">Agendar com o representante da CONTRATADA as reuniões necessárias; </w:t>
      </w:r>
    </w:p>
    <w:p>
      <w:pPr>
        <w:pStyle w:val="Default"/>
        <w:spacing w:before="0" w:after="142"/>
        <w:rPr/>
      </w:pPr>
      <w:r>
        <w:rPr>
          <w:b/>
        </w:rPr>
        <w:t xml:space="preserve">c) </w:t>
      </w:r>
      <w:r>
        <w:rPr/>
        <w:t xml:space="preserve">Comunicar ao gestor do contrato as ocorrências que impliquem possíveis sanções à CONTRATADA; </w:t>
      </w:r>
    </w:p>
    <w:p>
      <w:pPr>
        <w:pStyle w:val="Default"/>
        <w:rPr/>
      </w:pPr>
      <w:r>
        <w:rPr>
          <w:b/>
        </w:rPr>
        <w:t xml:space="preserve">d) </w:t>
      </w:r>
      <w:r>
        <w:rPr/>
        <w:t xml:space="preserve">Acompanhar e atestar o recebimento das notas fiscais; </w:t>
      </w:r>
    </w:p>
    <w:p>
      <w:pPr>
        <w:pStyle w:val="Default"/>
        <w:rPr/>
      </w:pPr>
      <w:r>
        <w:rPr>
          <w:b/>
        </w:rPr>
        <w:t xml:space="preserve">e) </w:t>
      </w:r>
      <w:r>
        <w:rPr/>
        <w:t xml:space="preserve">Comunicar à CONTRATADA, por escrito, as falhas, inconsistências, deficiências verificadas na execução dos serviços, para imediata correção ou, no caso de rejeição total, a reexecução, sem prejuízo das sanções cabíveis. </w:t>
      </w:r>
    </w:p>
    <w:p>
      <w:pPr>
        <w:pStyle w:val="Default"/>
        <w:jc w:val="both"/>
        <w:rPr/>
      </w:pPr>
      <w:r>
        <w:rPr/>
        <w:t xml:space="preserve">10.7.3 Ao Fiscal também caberá: </w:t>
      </w:r>
    </w:p>
    <w:p>
      <w:pPr>
        <w:pStyle w:val="Default"/>
        <w:spacing w:before="0" w:after="142"/>
        <w:jc w:val="both"/>
        <w:rPr/>
      </w:pPr>
      <w:r>
        <w:rPr/>
        <w:t xml:space="preserve">10.7.3.1. Apresentar à CONTRATADA as observações, reclamações e exigências que se impuserem em decorrência da Fiscalização; </w:t>
      </w:r>
    </w:p>
    <w:p>
      <w:pPr>
        <w:pStyle w:val="Default"/>
        <w:spacing w:before="0" w:after="142"/>
        <w:jc w:val="both"/>
        <w:rPr/>
      </w:pPr>
      <w:r>
        <w:rPr/>
        <w:t xml:space="preserve">10.7.3.2. Notificar à CONTRATADA, por escrito, sobre a ocorrência de eventuais transtornos na execução dos serviços, fixando prazo para sua correção, conforme sua conveniência. </w:t>
      </w:r>
    </w:p>
    <w:p>
      <w:pPr>
        <w:pStyle w:val="Default"/>
        <w:jc w:val="both"/>
        <w:rPr/>
      </w:pPr>
      <w:r>
        <w:rPr/>
        <w:t>10.7.3.3. Atend</w:t>
      </w:r>
      <w:r>
        <w:rPr>
          <w:sz w:val="22"/>
        </w:rPr>
        <w:t xml:space="preserve">er a quaisquer outras observações, não reservadas à fiscalização, para efeito de comunicação à contratada. </w:t>
      </w:r>
    </w:p>
    <w:p>
      <w:pPr>
        <w:pStyle w:val="Normal"/>
        <w:jc w:val="both"/>
        <w:rPr/>
      </w:pPr>
      <w:r>
        <w:rPr/>
      </w:r>
    </w:p>
    <w:p>
      <w:pPr>
        <w:pStyle w:val="Normal"/>
        <w:shd w:val="clear" w:color="auto" w:fill="D9D9D9" w:themeFill="background1" w:themeFillShade="d9"/>
        <w:jc w:val="both"/>
        <w:rPr>
          <w:sz w:val="24"/>
          <w:szCs w:val="24"/>
        </w:rPr>
      </w:pPr>
      <w:r>
        <w:rPr>
          <w:b/>
          <w:color w:val="000000"/>
          <w:sz w:val="24"/>
          <w:szCs w:val="24"/>
        </w:rPr>
        <w:t>11 – CLÁUSULA DÉCIMA PRIMEIRA – DAS OBRIGAÇÕES DA CONTRATA</w:t>
      </w:r>
    </w:p>
    <w:p>
      <w:pPr>
        <w:pStyle w:val="BodyText"/>
        <w:shd w:val="clear" w:color="auto" w:fill="FFFFFF"/>
        <w:spacing w:lineRule="auto" w:line="276"/>
        <w:jc w:val="both"/>
        <w:rPr>
          <w:sz w:val="24"/>
          <w:szCs w:val="24"/>
        </w:rPr>
      </w:pPr>
      <w:r>
        <w:rPr>
          <w:sz w:val="24"/>
          <w:szCs w:val="24"/>
        </w:rPr>
        <w:t xml:space="preserve">11.1. A </w:t>
      </w:r>
      <w:r>
        <w:rPr>
          <w:b/>
          <w:sz w:val="24"/>
          <w:szCs w:val="24"/>
        </w:rPr>
        <w:t>CONTRATADA</w:t>
      </w:r>
      <w:r>
        <w:rPr>
          <w:sz w:val="24"/>
          <w:szCs w:val="24"/>
        </w:rPr>
        <w:t xml:space="preserve"> se obriga à:</w:t>
      </w:r>
    </w:p>
    <w:p>
      <w:pPr>
        <w:pStyle w:val="BodyText"/>
        <w:shd w:val="clear" w:color="auto" w:fill="FFFFFF"/>
        <w:spacing w:lineRule="auto" w:line="276"/>
        <w:jc w:val="both"/>
        <w:rPr>
          <w:b/>
          <w:sz w:val="24"/>
          <w:szCs w:val="24"/>
        </w:rPr>
      </w:pPr>
      <w:r>
        <w:rPr>
          <w:sz w:val="24"/>
          <w:szCs w:val="24"/>
        </w:rPr>
        <w:t xml:space="preserve">a). Fornecer os serviços descritos na Cláusula Primeira deste Contrato Administrativo conforme solicitado via </w:t>
      </w:r>
      <w:r>
        <w:rPr>
          <w:b/>
          <w:sz w:val="24"/>
          <w:szCs w:val="24"/>
        </w:rPr>
        <w:t>Ordem de Fornecimento de Serviço.</w:t>
      </w:r>
    </w:p>
    <w:p>
      <w:pPr>
        <w:pStyle w:val="BodyText"/>
        <w:shd w:val="clear" w:color="auto" w:fill="FFFFFF"/>
        <w:spacing w:lineRule="auto" w:line="276"/>
        <w:ind w:left="426"/>
        <w:jc w:val="both"/>
        <w:rPr>
          <w:sz w:val="24"/>
          <w:szCs w:val="24"/>
        </w:rPr>
      </w:pPr>
      <w:r>
        <w:rPr>
          <w:sz w:val="24"/>
          <w:szCs w:val="24"/>
        </w:rPr>
        <w:t>a.1) A requisição poderá ser realizada por whatsapp ou e-mail a ser fornecido pelo CONTRATADO.</w:t>
      </w:r>
    </w:p>
    <w:p>
      <w:pPr>
        <w:pStyle w:val="BodyText"/>
        <w:shd w:val="clear" w:color="auto" w:fill="FFFFFF"/>
        <w:spacing w:lineRule="auto" w:line="276"/>
        <w:jc w:val="both"/>
        <w:rPr>
          <w:sz w:val="24"/>
          <w:szCs w:val="24"/>
        </w:rPr>
      </w:pPr>
      <w:r>
        <w:rPr>
          <w:sz w:val="24"/>
          <w:szCs w:val="24"/>
        </w:rPr>
        <w:t>b) A(s) Nota(s) Fiscal(is) do(s) material(ais) deverá ser remetida com antecedência mínima de 10 (dez) dias úteis em relação à data de seu vencimento e deve conter todos os dados da empresa, se é optante pelo simples nacional, o número da nota de empenho e/ou contrato e a descrição do objeto com a quantidade, para que o Fiscal do Contrato possa realizar sua verificação e, não havendo problemas, atestá-la</w:t>
      </w:r>
      <w:r>
        <w:rPr>
          <w:b/>
          <w:sz w:val="24"/>
          <w:szCs w:val="24"/>
        </w:rPr>
        <w:t>.</w:t>
      </w:r>
      <w:r>
        <w:rPr>
          <w:sz w:val="24"/>
          <w:szCs w:val="24"/>
        </w:rPr>
        <w:t xml:space="preserve"> O pagamento será efetuado nos dias 10 e/ou 20 do mês subsequente a prestação/aquisição do serviço/material, devendo apresentar Nota Fiscal e/ou documentos fiscal com 10 (dez) dias de antecedência das datas programadas para pagamento de fornecedores.</w:t>
      </w:r>
    </w:p>
    <w:p>
      <w:pPr>
        <w:pStyle w:val="BodyText"/>
        <w:shd w:val="clear" w:color="auto" w:fill="FFFFFF"/>
        <w:spacing w:lineRule="auto" w:line="276"/>
        <w:ind w:left="426"/>
        <w:jc w:val="both"/>
        <w:rPr>
          <w:sz w:val="24"/>
          <w:szCs w:val="24"/>
        </w:rPr>
      </w:pPr>
      <w:r>
        <w:rPr>
          <w:sz w:val="24"/>
          <w:szCs w:val="24"/>
        </w:rPr>
        <w:t xml:space="preserve">b.1) Junto com a(s) Nota(s) Fiscal(is) A CONTRATADA deverá manter a regularidade fiscal a cada  pedido de pagamento, os documentos a seguir discriminados, para verificação perante os órgãos competentes: comprovação de regularidade junto ao Sistema da Seguridade Social (CND) e à Fazenda Federal que compõe a </w:t>
      </w:r>
      <w:r>
        <w:rPr>
          <w:sz w:val="24"/>
          <w:szCs w:val="24"/>
          <w:shd w:fill="FFFFFF" w:val="clear"/>
        </w:rPr>
        <w:t>Certidão de Débitos Relativos a Créditos Tributários Federais e à Dívida Ativa da União</w:t>
      </w:r>
      <w:r>
        <w:rPr>
          <w:sz w:val="24"/>
          <w:szCs w:val="24"/>
        </w:rPr>
        <w:t>, o Certificado de Regularidade do FGTS (CRF), e da certidão negativa de débitos trabalhistas (CNDT), se for optante pelo simples nacional apresentar declaração, sem que isso gere direito a alteração de preços ou compensação financeira, da Fazenda Municipal com Certidão de Débitos Gerais do município de origem da Contratada e outra equivalente (</w:t>
      </w:r>
      <w:r>
        <w:rPr>
          <w:b/>
          <w:bCs w:val="false"/>
          <w:sz w:val="24"/>
          <w:szCs w:val="24"/>
        </w:rPr>
        <w:t>quando se tratar de serviços)</w:t>
      </w:r>
      <w:r>
        <w:rPr>
          <w:sz w:val="24"/>
          <w:szCs w:val="24"/>
        </w:rPr>
        <w:t xml:space="preserve"> e da Fazenda Estadual com Certidão Conjunta de Pendencias Tributárias e não Tributária Junto a SEFAZ a PGE do Estado de origem da Contratada ou outra equivalente. (</w:t>
      </w:r>
      <w:r>
        <w:rPr>
          <w:b/>
          <w:bCs w:val="false"/>
          <w:sz w:val="24"/>
          <w:szCs w:val="24"/>
        </w:rPr>
        <w:t>quando se tratar de materiais)</w:t>
      </w:r>
    </w:p>
    <w:p>
      <w:pPr>
        <w:pStyle w:val="BodyText"/>
        <w:shd w:val="clear" w:color="auto" w:fill="FFFFFF"/>
        <w:spacing w:lineRule="auto" w:line="276"/>
        <w:ind w:left="426"/>
        <w:jc w:val="both"/>
        <w:rPr>
          <w:sz w:val="24"/>
          <w:szCs w:val="24"/>
        </w:rPr>
      </w:pPr>
      <w:r>
        <w:rPr>
          <w:sz w:val="24"/>
          <w:szCs w:val="24"/>
        </w:rPr>
        <w:t xml:space="preserve">b.2). Serão aceitas como prova de regularidade, certidões positivas com efeito de negativas e certidões positivas que noticiem em seu corpo que os débitos estão judicialmente garantidos ou com sua exigibilidade suspensa. </w:t>
      </w:r>
    </w:p>
    <w:p>
      <w:pPr>
        <w:pStyle w:val="BodyText"/>
        <w:shd w:val="clear" w:color="auto" w:fill="FFFFFF"/>
        <w:spacing w:lineRule="auto" w:line="276"/>
        <w:jc w:val="both"/>
        <w:rPr>
          <w:sz w:val="24"/>
          <w:szCs w:val="24"/>
        </w:rPr>
      </w:pPr>
      <w:r>
        <w:rPr>
          <w:sz w:val="24"/>
          <w:szCs w:val="24"/>
        </w:rPr>
        <w:t xml:space="preserve">c) Fornecer os materiais/serviços nas instalações da </w:t>
      </w:r>
      <w:r>
        <w:rPr>
          <w:b/>
          <w:sz w:val="24"/>
          <w:szCs w:val="24"/>
        </w:rPr>
        <w:t>CONTRATANTE</w:t>
      </w:r>
      <w:r>
        <w:rPr>
          <w:sz w:val="24"/>
          <w:szCs w:val="24"/>
        </w:rPr>
        <w:t xml:space="preserve"> com esmero e sob sua exclusiva responsabilidade, sempre que solicitado pelo CROMT, sendo vedada a transferência dos mesmos a terceiros, sem previa e expressa concordância da CONTRATANTE.</w:t>
      </w:r>
    </w:p>
    <w:p>
      <w:pPr>
        <w:pStyle w:val="BodyText"/>
        <w:shd w:val="clear" w:color="auto" w:fill="FFFFFF"/>
        <w:jc w:val="both"/>
        <w:rPr/>
      </w:pPr>
      <w:r>
        <w:rPr/>
      </w:r>
    </w:p>
    <w:p>
      <w:pPr>
        <w:pStyle w:val="Default"/>
        <w:jc w:val="both"/>
        <w:rPr/>
      </w:pPr>
      <w:r>
        <w:rPr>
          <w:bCs/>
          <w:lang w:val="pt-PT" w:bidi="pt-PT"/>
        </w:rPr>
        <w:t xml:space="preserve">11.2 </w:t>
      </w:r>
      <w:r>
        <w:rPr/>
        <w:t xml:space="preserve">Para facilitar a execução do contrato, adotar, sempre que solicitado e de acordo com as normas estabelecidas, as seguintes providências: </w:t>
      </w:r>
    </w:p>
    <w:p>
      <w:pPr>
        <w:pStyle w:val="Default"/>
        <w:spacing w:before="0" w:after="144"/>
        <w:ind w:firstLine="850"/>
        <w:jc w:val="both"/>
        <w:rPr/>
      </w:pPr>
      <w:r>
        <w:rPr>
          <w:b/>
        </w:rPr>
        <w:t xml:space="preserve">a) </w:t>
      </w:r>
      <w:r>
        <w:rPr/>
        <w:t xml:space="preserve">Execução de reserva automatizada “on-line” e emissão de seu comprovante; </w:t>
      </w:r>
    </w:p>
    <w:p>
      <w:pPr>
        <w:pStyle w:val="Default"/>
        <w:spacing w:before="0" w:after="144"/>
        <w:ind w:firstLine="850"/>
        <w:jc w:val="both"/>
        <w:rPr/>
      </w:pPr>
      <w:r>
        <w:rPr>
          <w:b/>
        </w:rPr>
        <w:t xml:space="preserve">b) </w:t>
      </w:r>
      <w:r>
        <w:rPr/>
        <w:t xml:space="preserve">Emissão de passagem por meio eletrônico, “on-line”; </w:t>
      </w:r>
    </w:p>
    <w:p>
      <w:pPr>
        <w:pStyle w:val="Default"/>
        <w:spacing w:before="0" w:after="144"/>
        <w:ind w:firstLine="850"/>
        <w:jc w:val="both"/>
        <w:rPr/>
      </w:pPr>
      <w:r>
        <w:rPr>
          <w:b/>
        </w:rPr>
        <w:t xml:space="preserve">c) </w:t>
      </w:r>
      <w:r>
        <w:rPr/>
        <w:t xml:space="preserve">Consulta e informação de melhor rota ou percurso, “on-line”; </w:t>
      </w:r>
    </w:p>
    <w:p>
      <w:pPr>
        <w:pStyle w:val="Default"/>
        <w:spacing w:before="0" w:after="144"/>
        <w:ind w:firstLine="850"/>
        <w:jc w:val="both"/>
        <w:rPr/>
      </w:pPr>
      <w:r>
        <w:rPr>
          <w:b/>
        </w:rPr>
        <w:t xml:space="preserve">d) </w:t>
      </w:r>
      <w:r>
        <w:rPr/>
        <w:t xml:space="preserve">Consulta sobre frequência de voos e equipamentos, “on-line”; </w:t>
      </w:r>
    </w:p>
    <w:p>
      <w:pPr>
        <w:pStyle w:val="Default"/>
        <w:spacing w:before="0" w:after="144"/>
        <w:ind w:firstLine="850"/>
        <w:jc w:val="both"/>
        <w:rPr/>
      </w:pPr>
      <w:r>
        <w:rPr>
          <w:b/>
        </w:rPr>
        <w:t xml:space="preserve">e) </w:t>
      </w:r>
      <w:r>
        <w:rPr/>
        <w:t xml:space="preserve">Consulta à menor tarifa disponível; </w:t>
      </w:r>
    </w:p>
    <w:p>
      <w:pPr>
        <w:pStyle w:val="Default"/>
        <w:spacing w:before="0" w:after="144"/>
        <w:ind w:firstLine="850"/>
        <w:jc w:val="both"/>
        <w:rPr/>
      </w:pPr>
      <w:r>
        <w:rPr>
          <w:b/>
        </w:rPr>
        <w:t xml:space="preserve">f) </w:t>
      </w:r>
      <w:r>
        <w:rPr/>
        <w:t xml:space="preserve">Alteração/remarcação de passagem; </w:t>
      </w:r>
    </w:p>
    <w:p>
      <w:pPr>
        <w:pStyle w:val="Default"/>
        <w:ind w:firstLine="850"/>
        <w:jc w:val="both"/>
        <w:rPr/>
      </w:pPr>
      <w:r>
        <w:rPr>
          <w:b/>
        </w:rPr>
        <w:t xml:space="preserve">g) </w:t>
      </w:r>
      <w:r>
        <w:rPr/>
        <w:t xml:space="preserve">Combinação de tarifas; </w:t>
      </w:r>
    </w:p>
    <w:p>
      <w:pPr>
        <w:pStyle w:val="Normal"/>
        <w:spacing w:lineRule="auto" w:line="276"/>
        <w:jc w:val="both"/>
        <w:rPr>
          <w:bCs/>
          <w:sz w:val="24"/>
          <w:szCs w:val="24"/>
          <w:lang w:val="pt-PT" w:bidi="pt-PT"/>
        </w:rPr>
      </w:pPr>
      <w:r>
        <w:rPr>
          <w:bCs/>
          <w:sz w:val="24"/>
          <w:szCs w:val="24"/>
          <w:lang w:val="pt-PT" w:bidi="pt-PT"/>
        </w:rPr>
      </w:r>
    </w:p>
    <w:p>
      <w:pPr>
        <w:pStyle w:val="Default"/>
        <w:rPr/>
      </w:pPr>
      <w:r>
        <w:rPr/>
      </w:r>
    </w:p>
    <w:p>
      <w:pPr>
        <w:pStyle w:val="Default"/>
        <w:spacing w:before="0" w:after="142"/>
        <w:jc w:val="both"/>
        <w:rPr/>
      </w:pPr>
      <w:r>
        <w:rPr/>
        <w:t xml:space="preserve">11.3 Prestar assessoramento para definição de melhor roteiro, horário e frequência de vôos (partidas e chegadas), melhores conexões e tarifas promocionais na retirada de passagem aérea e rodoviária; </w:t>
      </w:r>
    </w:p>
    <w:p>
      <w:pPr>
        <w:pStyle w:val="Default"/>
        <w:spacing w:before="0" w:after="142"/>
        <w:jc w:val="both"/>
        <w:rPr/>
      </w:pPr>
      <w:r>
        <w:rPr/>
        <w:t xml:space="preserve">11.4 Disponibilizar um funcionário para atender prioritariamente o CONTRATANTE, de maneira que as solicitações sejam atendidas no menor espaço de tempo possível, principalmente quanto ao envio de demonstrativos de vôos, controle de reservas e emissão de passagem; </w:t>
      </w:r>
    </w:p>
    <w:p>
      <w:pPr>
        <w:pStyle w:val="Default"/>
        <w:spacing w:before="0" w:after="142"/>
        <w:jc w:val="both"/>
        <w:rPr/>
      </w:pPr>
      <w:r>
        <w:rPr/>
        <w:t xml:space="preserve">11.5 Informar ao CONTRATANTE o nome, endereço e telefone do responsável pelo gerenciamento deste contrato, no prazo de 5 (cinco) dias contados da assinatura do acordo; </w:t>
      </w:r>
    </w:p>
    <w:p>
      <w:pPr>
        <w:pStyle w:val="Default"/>
        <w:spacing w:before="0" w:after="142"/>
        <w:jc w:val="both"/>
        <w:rPr/>
      </w:pPr>
      <w:r>
        <w:rPr/>
        <w:t xml:space="preserve">11.6 Prestar atendimento aos sábados, domingos e feriados, por empregado designado pela empresa, com acesso ao serviço móvel celular; </w:t>
      </w:r>
    </w:p>
    <w:p>
      <w:pPr>
        <w:pStyle w:val="Default"/>
        <w:spacing w:before="0" w:after="142"/>
        <w:jc w:val="both"/>
        <w:rPr/>
      </w:pPr>
      <w:r>
        <w:rPr/>
        <w:t xml:space="preserve">11.7 Efetuar a emissão de passagem em caráter de urgência, fora do horário de expediente, inclusive sábados, domingos e feriados, devendo a mesma estar à disposição do Conselho em tempo hábil para o embarque do passageiro; </w:t>
      </w:r>
    </w:p>
    <w:p>
      <w:pPr>
        <w:pStyle w:val="Default"/>
        <w:spacing w:before="0" w:after="142"/>
        <w:jc w:val="both"/>
        <w:rPr/>
      </w:pPr>
      <w:r>
        <w:rPr/>
        <w:t xml:space="preserve">11.8 Manter durante a execução do contrato todas as condições de habilitação e da proposta; </w:t>
      </w:r>
    </w:p>
    <w:p>
      <w:pPr>
        <w:pStyle w:val="Default"/>
        <w:spacing w:before="0" w:after="142"/>
        <w:jc w:val="both"/>
        <w:rPr/>
      </w:pPr>
      <w:r>
        <w:rPr/>
        <w:t xml:space="preserve">11.9 Sempre que solicitado, fornecer ao CONTRATANTE, sem ônus, a tabela de preços das empresas aérea e rodoviárias para passagens, comunicando imediatamente ao Conselho qualquer reajuste ocorrido, de modo a possibilitar, quando da emissão da passagem, a utilização da menor tarifa; </w:t>
      </w:r>
    </w:p>
    <w:p>
      <w:pPr>
        <w:pStyle w:val="Default"/>
        <w:spacing w:before="0" w:after="142"/>
        <w:jc w:val="both"/>
        <w:rPr/>
      </w:pPr>
      <w:r>
        <w:rPr/>
        <w:t xml:space="preserve">11.10 Repassar ao CONTRATANTE as tarifas promocionais ou reduzidas, sempre que oferecidas pelas Companhias Aérea e rodoviárias, bem como as vantagens e bonificações decorrentes da emissão, em conjunto, de um determinado número de passagens; </w:t>
      </w:r>
    </w:p>
    <w:p>
      <w:pPr>
        <w:pStyle w:val="Default"/>
        <w:jc w:val="both"/>
        <w:rPr/>
      </w:pPr>
      <w:r>
        <w:rPr/>
        <w:t xml:space="preserve">11.11 Informar por escrito e comprovar a cobrança de qualquer tipo de multa ou taxa paga às Companhias Aérea e rodoviárias, em razão de alterações nas reservas e passagens; </w:t>
      </w:r>
    </w:p>
    <w:p>
      <w:pPr>
        <w:pStyle w:val="Default"/>
        <w:jc w:val="both"/>
        <w:rPr/>
      </w:pPr>
      <w:r>
        <w:rPr/>
      </w:r>
    </w:p>
    <w:p>
      <w:pPr>
        <w:pStyle w:val="Default"/>
        <w:spacing w:before="0" w:after="142"/>
        <w:jc w:val="both"/>
        <w:rPr/>
      </w:pPr>
      <w:r>
        <w:rPr/>
        <w:t xml:space="preserve">11.12 Facilitar os trabalhos de fiscalização e acompanhamento do contrato pelo CONTRATANTE acatando imediatamente as instruções, sugestões, observações e decisões que dele emanem, providenciando, com celeridade e presteza, a correção das deficiências apontadas quanto à execução dos serviços contratados; </w:t>
      </w:r>
    </w:p>
    <w:p>
      <w:pPr>
        <w:pStyle w:val="Default"/>
        <w:jc w:val="both"/>
        <w:rPr/>
      </w:pPr>
      <w:r>
        <w:rPr/>
        <w:t xml:space="preserve">11.13 Responder, integralmente, por perdas e danos que vier a causar ao CONTRATANTE ou a terceiros em razão de ação ou omissão, dolosa ou culposa, sua ou de seus prepostos, independentemente de outras cominações contratuais ou legais a que estiver sujeita; </w:t>
      </w:r>
    </w:p>
    <w:p>
      <w:pPr>
        <w:pStyle w:val="Default"/>
        <w:rPr/>
      </w:pPr>
      <w:r>
        <w:rPr/>
      </w:r>
    </w:p>
    <w:p>
      <w:pPr>
        <w:pStyle w:val="Default"/>
        <w:spacing w:before="0" w:after="142"/>
        <w:jc w:val="both"/>
        <w:rPr/>
      </w:pPr>
      <w:r>
        <w:rPr/>
        <w:t xml:space="preserve">11.14 Comunicar ao CONTRATANTE, por escrito, no prazo máximo de 03 (três) dias úteis, quaisquer alterações havidas no contrato social, durante o prazo de vigência do contrato de prestação de serviços, bem como apresentar documentos comprobatórios das alterações promovidas; </w:t>
      </w:r>
    </w:p>
    <w:p>
      <w:pPr>
        <w:pStyle w:val="Default"/>
        <w:spacing w:before="0" w:after="142"/>
        <w:jc w:val="both"/>
        <w:rPr/>
      </w:pPr>
      <w:r>
        <w:rPr/>
        <w:t xml:space="preserve">11.15  Não transferir a outrem, no todo ou em parte, o objeto do contrato a ser firmado; </w:t>
      </w:r>
    </w:p>
    <w:p>
      <w:pPr>
        <w:pStyle w:val="Default"/>
        <w:spacing w:before="0" w:after="142"/>
        <w:jc w:val="both"/>
        <w:rPr/>
      </w:pPr>
      <w:r>
        <w:rPr/>
        <w:t xml:space="preserve">11.16  Responsabilizar-se por todas as despesas tais como taxas; impostos; ligações telefônicas; custos administrativos e de impressão de passagens; salários; seguros; vale-refeição e transporte; indenizações, encargos sociais e trabalhistas e quaisquer outras despesas referentes aos serviços objeto do contrato, inclusive licença em repartições públicas; registros, publicações e autenticações do termo de contrato e dos documentos a ele relativos, e se necessários outros que porventura venham a ser criadas pelo Governo Federal, Estadual ou Municipal. </w:t>
      </w:r>
    </w:p>
    <w:p>
      <w:pPr>
        <w:pStyle w:val="Default"/>
        <w:jc w:val="both"/>
        <w:rPr/>
      </w:pPr>
      <w:r>
        <w:rPr>
          <w:lang w:val="pt-PT" w:bidi="pt-PT"/>
        </w:rPr>
        <w:t xml:space="preserve">11.17 Apresentar ao CONTRATANTE mensalmente as faturas emitidas pelas companhias aérea e rodoviárias referentes às passagens aérea e rodoviárias adquiridas por este Conselho, juntamente com a NOTA FISCAL. </w:t>
      </w:r>
    </w:p>
    <w:p>
      <w:pPr>
        <w:pStyle w:val="Normal"/>
        <w:spacing w:lineRule="auto" w:line="276"/>
        <w:jc w:val="both"/>
        <w:rPr>
          <w:bCs/>
          <w:sz w:val="24"/>
          <w:szCs w:val="24"/>
          <w:lang w:val="pt-PT" w:bidi="pt-PT"/>
        </w:rPr>
      </w:pPr>
      <w:r>
        <w:rPr>
          <w:bCs/>
          <w:sz w:val="24"/>
          <w:szCs w:val="24"/>
          <w:lang w:val="pt-PT" w:bidi="pt-PT"/>
        </w:rPr>
      </w:r>
    </w:p>
    <w:p>
      <w:pPr>
        <w:pStyle w:val="BodyText"/>
        <w:shd w:val="clear" w:color="auto" w:fill="D9D9D9"/>
        <w:spacing w:lineRule="auto" w:line="276"/>
        <w:jc w:val="both"/>
        <w:rPr>
          <w:b/>
          <w:sz w:val="24"/>
          <w:szCs w:val="24"/>
        </w:rPr>
      </w:pPr>
      <w:r>
        <w:rPr>
          <w:b/>
          <w:bCs w:val="false"/>
          <w:sz w:val="24"/>
          <w:szCs w:val="24"/>
        </w:rPr>
        <w:t>12 - CLÁUSULA DÉCIMA SEGUNDA – SANÇÕES ADMINISTRATIVAS</w:t>
      </w:r>
    </w:p>
    <w:p>
      <w:pPr>
        <w:pStyle w:val="Normal"/>
        <w:spacing w:lineRule="auto" w:line="276"/>
        <w:jc w:val="both"/>
        <w:rPr>
          <w:sz w:val="24"/>
          <w:szCs w:val="24"/>
        </w:rPr>
      </w:pPr>
      <w:r>
        <w:rPr>
          <w:sz w:val="24"/>
          <w:szCs w:val="24"/>
        </w:rPr>
        <w:t>12.1. Na hipótese da ocorrência de quaisquer infrações contratuais ou legais, especialmente de inadimplemento de obrigação pela CONTRATADA, esta estará sujeita às sanções previstas nos Art. 156 e 157 da Lei nº 14.133/21, e à rescisão do instrumento contratual, na forma prevista nos Art. 115 e 139 da Lei nº 14.133/21.</w:t>
      </w:r>
    </w:p>
    <w:p>
      <w:pPr>
        <w:pStyle w:val="Normal"/>
        <w:spacing w:lineRule="auto" w:line="276"/>
        <w:jc w:val="both"/>
        <w:rPr>
          <w:sz w:val="24"/>
          <w:szCs w:val="24"/>
        </w:rPr>
      </w:pPr>
      <w:r>
        <w:rPr>
          <w:b/>
          <w:sz w:val="24"/>
          <w:szCs w:val="24"/>
        </w:rPr>
        <w:t>12.2</w:t>
      </w:r>
      <w:r>
        <w:rPr>
          <w:sz w:val="24"/>
          <w:szCs w:val="24"/>
        </w:rPr>
        <w:t>. Para fixação das penalidades, serão observados os seguintes critérios:</w:t>
      </w:r>
    </w:p>
    <w:p>
      <w:pPr>
        <w:pStyle w:val="Normal"/>
        <w:widowControl w:val="false"/>
        <w:spacing w:lineRule="auto" w:line="276"/>
        <w:jc w:val="both"/>
        <w:rPr>
          <w:bCs/>
          <w:sz w:val="24"/>
          <w:szCs w:val="24"/>
        </w:rPr>
      </w:pPr>
      <w:r>
        <w:rPr>
          <w:b/>
          <w:bCs/>
          <w:sz w:val="24"/>
          <w:szCs w:val="24"/>
        </w:rPr>
        <w:t>I.</w:t>
      </w:r>
      <w:r>
        <w:rPr>
          <w:bCs/>
          <w:sz w:val="24"/>
          <w:szCs w:val="24"/>
        </w:rPr>
        <w:t xml:space="preserve"> Por atraso injustificado no início da entrega/execução dos materiais/serviços;</w:t>
      </w:r>
    </w:p>
    <w:p>
      <w:pPr>
        <w:pStyle w:val="Normal"/>
        <w:widowControl w:val="false"/>
        <w:spacing w:lineRule="auto" w:line="276"/>
        <w:jc w:val="both"/>
        <w:rPr>
          <w:bCs/>
          <w:sz w:val="24"/>
          <w:szCs w:val="24"/>
        </w:rPr>
      </w:pPr>
      <w:r>
        <w:rPr>
          <w:b/>
          <w:bCs/>
          <w:sz w:val="24"/>
          <w:szCs w:val="24"/>
        </w:rPr>
        <w:t>a)</w:t>
      </w:r>
      <w:r>
        <w:rPr>
          <w:bCs/>
          <w:sz w:val="24"/>
          <w:szCs w:val="24"/>
        </w:rPr>
        <w:t xml:space="preserve"> Atraso de até 5 (cinco) dias, multa de 2% (dois por cento), do valor adjudicado;</w:t>
      </w:r>
    </w:p>
    <w:p>
      <w:pPr>
        <w:pStyle w:val="Normal"/>
        <w:widowControl w:val="false"/>
        <w:spacing w:lineRule="auto" w:line="276"/>
        <w:jc w:val="both"/>
        <w:rPr>
          <w:bCs/>
          <w:sz w:val="24"/>
          <w:szCs w:val="24"/>
        </w:rPr>
      </w:pPr>
      <w:r>
        <w:rPr>
          <w:b/>
          <w:bCs/>
          <w:sz w:val="24"/>
          <w:szCs w:val="24"/>
        </w:rPr>
        <w:t>b)</w:t>
      </w:r>
      <w:r>
        <w:rPr>
          <w:bCs/>
          <w:sz w:val="24"/>
          <w:szCs w:val="24"/>
        </w:rPr>
        <w:t xml:space="preserve"> Atraso superior a 10 (dez) dias, multa de 4% (quatro por cento), do valor adjudicado, sem prejuízo das demais cominações legais; e</w:t>
      </w:r>
    </w:p>
    <w:p>
      <w:pPr>
        <w:pStyle w:val="Normal"/>
        <w:widowControl w:val="false"/>
        <w:spacing w:lineRule="auto" w:line="276"/>
        <w:jc w:val="both"/>
        <w:rPr>
          <w:bCs/>
          <w:sz w:val="24"/>
          <w:szCs w:val="24"/>
        </w:rPr>
      </w:pPr>
      <w:r>
        <w:rPr>
          <w:b/>
          <w:bCs/>
          <w:sz w:val="24"/>
          <w:szCs w:val="24"/>
        </w:rPr>
        <w:t>c)</w:t>
      </w:r>
      <w:r>
        <w:rPr>
          <w:bCs/>
          <w:sz w:val="24"/>
          <w:szCs w:val="24"/>
        </w:rPr>
        <w:t xml:space="preserve"> No caso de atraso no recolhimento da multa aplicada, incidirá nova multa sobre o valor devido, equivalente a 0,5% (cinco centésimos por cento) até 10 (dez) dias de atraso e 1% (um por cento) do valor adjudicado, acima desse prazo, calculado sobre o total dos dias em atraso;</w:t>
      </w:r>
    </w:p>
    <w:p>
      <w:pPr>
        <w:pStyle w:val="Normal"/>
        <w:widowControl w:val="false"/>
        <w:spacing w:lineRule="auto" w:line="276"/>
        <w:jc w:val="both"/>
        <w:rPr>
          <w:bCs/>
          <w:sz w:val="24"/>
          <w:szCs w:val="24"/>
        </w:rPr>
      </w:pPr>
      <w:r>
        <w:rPr>
          <w:b/>
          <w:bCs/>
          <w:sz w:val="24"/>
          <w:szCs w:val="24"/>
        </w:rPr>
        <w:t>II.</w:t>
      </w:r>
      <w:r>
        <w:rPr>
          <w:bCs/>
          <w:sz w:val="24"/>
          <w:szCs w:val="24"/>
        </w:rPr>
        <w:t xml:space="preserve"> Pela inexecução parcial das condições estabelecidas neste instrumento, o CROMT poderá garantida a prévia defesa, aplicar também, as seguintes sanções:</w:t>
      </w:r>
    </w:p>
    <w:p>
      <w:pPr>
        <w:pStyle w:val="Normal"/>
        <w:tabs>
          <w:tab w:val="clear" w:pos="708"/>
          <w:tab w:val="left" w:pos="1276" w:leader="none"/>
        </w:tabs>
        <w:spacing w:lineRule="auto" w:line="276"/>
        <w:jc w:val="both"/>
        <w:rPr>
          <w:sz w:val="24"/>
          <w:szCs w:val="24"/>
        </w:rPr>
      </w:pPr>
      <w:r>
        <w:rPr>
          <w:sz w:val="24"/>
          <w:szCs w:val="24"/>
        </w:rPr>
        <w:t>a) Advertência por escrito, admitida inicialmente, pela infringência de qualquer item pactuado, desde que sem consequências nos prazos e nos valores do CONTRATO;</w:t>
      </w:r>
    </w:p>
    <w:p>
      <w:pPr>
        <w:pStyle w:val="Normal"/>
        <w:widowControl w:val="false"/>
        <w:spacing w:lineRule="auto" w:line="276"/>
        <w:jc w:val="both"/>
        <w:rPr>
          <w:sz w:val="24"/>
          <w:szCs w:val="24"/>
        </w:rPr>
      </w:pPr>
      <w:r>
        <w:rPr>
          <w:b/>
          <w:bCs/>
          <w:sz w:val="24"/>
          <w:szCs w:val="24"/>
        </w:rPr>
        <w:t xml:space="preserve">b) </w:t>
      </w:r>
      <w:r>
        <w:rPr>
          <w:sz w:val="24"/>
          <w:szCs w:val="24"/>
        </w:rPr>
        <w:t>multa de até 6% (seis por cento) sobre o valor homologado, atualizado, recolhida no prazo de 15 (quinze) dias corridos, contados da comunicação oficial, sem embargo de indenização dos prejuízos porventura causados ao Conselho Regional de Odontologia de Mato Grosso, sendo que a multa poderá ser cumulada com outras sanções;</w:t>
      </w:r>
    </w:p>
    <w:p>
      <w:pPr>
        <w:pStyle w:val="Normal"/>
        <w:widowControl w:val="false"/>
        <w:spacing w:lineRule="auto" w:line="276"/>
        <w:jc w:val="both"/>
        <w:rPr>
          <w:sz w:val="24"/>
          <w:szCs w:val="24"/>
        </w:rPr>
      </w:pPr>
      <w:r>
        <w:rPr>
          <w:b/>
          <w:bCs/>
          <w:sz w:val="24"/>
          <w:szCs w:val="24"/>
        </w:rPr>
        <w:t xml:space="preserve">c) </w:t>
      </w:r>
      <w:r>
        <w:rPr>
          <w:sz w:val="24"/>
          <w:szCs w:val="24"/>
        </w:rPr>
        <w:t>suspensão temporária de participação em licitação e impedimento de licitar e contratar com o Conselho Regional de Odontologia de Mato Grosso.</w:t>
      </w:r>
    </w:p>
    <w:p>
      <w:pPr>
        <w:pStyle w:val="Normal"/>
        <w:widowControl w:val="false"/>
        <w:spacing w:lineRule="auto" w:line="276"/>
        <w:jc w:val="both"/>
        <w:rPr>
          <w:bCs/>
          <w:sz w:val="24"/>
          <w:szCs w:val="24"/>
        </w:rPr>
      </w:pPr>
      <w:r>
        <w:rPr>
          <w:b/>
          <w:bCs/>
          <w:sz w:val="24"/>
          <w:szCs w:val="24"/>
        </w:rPr>
        <w:t>III.</w:t>
      </w:r>
      <w:r>
        <w:rPr>
          <w:bCs/>
          <w:sz w:val="24"/>
          <w:szCs w:val="24"/>
        </w:rPr>
        <w:t xml:space="preserve"> Pela inexecução total das condições estabelecidas neste instrumento, o CROMT poderá garantida a prévia defesa, aplicar também, as seguintes sanções:</w:t>
      </w:r>
    </w:p>
    <w:p>
      <w:pPr>
        <w:pStyle w:val="Normal"/>
        <w:tabs>
          <w:tab w:val="clear" w:pos="708"/>
          <w:tab w:val="left" w:pos="1276" w:leader="none"/>
        </w:tabs>
        <w:spacing w:lineRule="auto" w:line="276"/>
        <w:jc w:val="both"/>
        <w:rPr>
          <w:sz w:val="24"/>
          <w:szCs w:val="24"/>
        </w:rPr>
      </w:pPr>
      <w:r>
        <w:rPr>
          <w:sz w:val="24"/>
          <w:szCs w:val="24"/>
        </w:rPr>
        <w:t>a) Advertência por escrito, admitida inicialmente, pela infringência de qualquer item pactuado, desde que sem consequências nos prazos e nos valores do CONTRATO;</w:t>
      </w:r>
    </w:p>
    <w:p>
      <w:pPr>
        <w:pStyle w:val="Normal"/>
        <w:widowControl w:val="false"/>
        <w:spacing w:lineRule="auto" w:line="276"/>
        <w:jc w:val="both"/>
        <w:rPr>
          <w:sz w:val="24"/>
          <w:szCs w:val="24"/>
        </w:rPr>
      </w:pPr>
      <w:r>
        <w:rPr>
          <w:b/>
          <w:bCs/>
          <w:sz w:val="24"/>
          <w:szCs w:val="24"/>
        </w:rPr>
        <w:t xml:space="preserve">b) </w:t>
      </w:r>
      <w:r>
        <w:rPr>
          <w:sz w:val="24"/>
          <w:szCs w:val="24"/>
        </w:rPr>
        <w:t>multa de até 10% (dez por cento) sobre o valor homologado, atualizado, recolhida no prazo de 15 (quinze) dias corridos, contados da comunicação oficial, sem embargo de indenização dos prejuízos porventura causados ao Conselho Regional de Odontologia de Mato Grosso, sendo que a multa poderá ser cumulada com outras sanções;</w:t>
      </w:r>
    </w:p>
    <w:p>
      <w:pPr>
        <w:pStyle w:val="Normal"/>
        <w:widowControl w:val="false"/>
        <w:spacing w:lineRule="auto" w:line="276"/>
        <w:jc w:val="both"/>
        <w:rPr>
          <w:sz w:val="24"/>
          <w:szCs w:val="24"/>
        </w:rPr>
      </w:pPr>
      <w:r>
        <w:rPr>
          <w:b/>
          <w:bCs/>
          <w:sz w:val="24"/>
          <w:szCs w:val="24"/>
        </w:rPr>
        <w:t xml:space="preserve">c) </w:t>
      </w:r>
      <w:r>
        <w:rPr>
          <w:sz w:val="24"/>
          <w:szCs w:val="24"/>
        </w:rPr>
        <w:t>suspensão temporária de participação em licitação e impedimento de licitar e contratar com o Conselho Regional de Odontologia de Mato Grosso.</w:t>
      </w:r>
    </w:p>
    <w:p>
      <w:pPr>
        <w:pStyle w:val="Normal"/>
        <w:widowControl w:val="false"/>
        <w:spacing w:lineRule="auto" w:line="276"/>
        <w:jc w:val="both"/>
        <w:rPr>
          <w:color w:val="000000"/>
          <w:sz w:val="24"/>
          <w:szCs w:val="24"/>
          <w:shd w:fill="FFFFFF" w:val="clear"/>
        </w:rPr>
      </w:pPr>
      <w:r>
        <w:rPr>
          <w:sz w:val="24"/>
          <w:szCs w:val="24"/>
        </w:rPr>
        <w:t>d) D</w:t>
      </w:r>
      <w:r>
        <w:rPr>
          <w:color w:val="000000"/>
          <w:sz w:val="24"/>
          <w:szCs w:val="24"/>
          <w:shd w:fill="FFFFFF" w:val="clear"/>
        </w:rPr>
        <w:t>eclaração de inidoneidade para licitar ou contratar com a Administração Pública.</w:t>
      </w:r>
    </w:p>
    <w:p>
      <w:pPr>
        <w:pStyle w:val="Normal"/>
        <w:widowControl w:val="false"/>
        <w:spacing w:lineRule="auto" w:line="276"/>
        <w:jc w:val="both"/>
        <w:rPr>
          <w:sz w:val="24"/>
          <w:szCs w:val="24"/>
        </w:rPr>
      </w:pPr>
      <w:r>
        <w:rPr>
          <w:b/>
          <w:bCs/>
          <w:sz w:val="24"/>
          <w:szCs w:val="24"/>
        </w:rPr>
        <w:t xml:space="preserve">Parágrafo Primeiro: </w:t>
      </w:r>
      <w:r>
        <w:rPr>
          <w:sz w:val="24"/>
          <w:szCs w:val="24"/>
        </w:rPr>
        <w:t>As multas serão descontadas dos créditos da empresa ou cobradas administrativa ou judicialmente;</w:t>
      </w:r>
    </w:p>
    <w:p>
      <w:pPr>
        <w:pStyle w:val="Normal"/>
        <w:widowControl w:val="false"/>
        <w:spacing w:lineRule="auto" w:line="276"/>
        <w:jc w:val="both"/>
        <w:rPr>
          <w:sz w:val="24"/>
          <w:szCs w:val="24"/>
        </w:rPr>
      </w:pPr>
      <w:r>
        <w:rPr>
          <w:b/>
          <w:bCs/>
          <w:sz w:val="24"/>
          <w:szCs w:val="24"/>
        </w:rPr>
        <w:t xml:space="preserve">Parágrafo Segundo: </w:t>
      </w:r>
      <w:r>
        <w:rPr>
          <w:sz w:val="24"/>
          <w:szCs w:val="24"/>
        </w:rPr>
        <w:t>As penalidades previstas neste item têm caráter de sanção administrativa, consequentemente, a sua aplicação não exime a empresa detentora do contrato, da reparação das eventuais perdas e danos que seu ato venha acarretar ao Conselho Regional de Odontologia de Mato Grosso;</w:t>
      </w:r>
    </w:p>
    <w:p>
      <w:pPr>
        <w:pStyle w:val="Normal"/>
        <w:widowControl w:val="false"/>
        <w:spacing w:lineRule="auto" w:line="276"/>
        <w:jc w:val="both"/>
        <w:rPr>
          <w:sz w:val="24"/>
          <w:szCs w:val="24"/>
        </w:rPr>
      </w:pPr>
      <w:r>
        <w:rPr>
          <w:b/>
          <w:bCs/>
          <w:sz w:val="24"/>
          <w:szCs w:val="24"/>
        </w:rPr>
        <w:t xml:space="preserve">Parágrafo Terceiro: </w:t>
      </w:r>
      <w:r>
        <w:rPr>
          <w:sz w:val="24"/>
          <w:szCs w:val="24"/>
        </w:rPr>
        <w:t>As penalidades são independentes e a aplicação de uma não exclui a das demais, quando cabíveis, facultada à defesa prévia do interessado;</w:t>
      </w:r>
    </w:p>
    <w:p>
      <w:pPr>
        <w:pStyle w:val="Normal"/>
        <w:widowControl w:val="false"/>
        <w:spacing w:lineRule="auto" w:line="276"/>
        <w:jc w:val="both"/>
        <w:rPr>
          <w:sz w:val="24"/>
          <w:szCs w:val="24"/>
        </w:rPr>
      </w:pPr>
      <w:r>
        <w:rPr>
          <w:sz w:val="24"/>
          <w:szCs w:val="24"/>
        </w:rPr>
      </w:r>
    </w:p>
    <w:p>
      <w:pPr>
        <w:pStyle w:val="Normal"/>
        <w:tabs>
          <w:tab w:val="clear" w:pos="708"/>
          <w:tab w:val="left" w:pos="851" w:leader="none"/>
        </w:tabs>
        <w:spacing w:lineRule="auto" w:line="276"/>
        <w:jc w:val="both"/>
        <w:rPr>
          <w:sz w:val="24"/>
          <w:szCs w:val="24"/>
        </w:rPr>
      </w:pPr>
      <w:r>
        <w:rPr>
          <w:b/>
          <w:sz w:val="24"/>
          <w:szCs w:val="24"/>
        </w:rPr>
        <w:t>12.3.</w:t>
      </w:r>
      <w:r>
        <w:rPr>
          <w:sz w:val="24"/>
          <w:szCs w:val="24"/>
        </w:rPr>
        <w:t xml:space="preserve"> Serão assegurados à CONTRATADA, em qualquer caso, o contraditório e a ampla defesa, consoante o Art. 156 e o Art. 187, ambos da Lei nº 14.133/21.</w:t>
      </w:r>
    </w:p>
    <w:p>
      <w:pPr>
        <w:pStyle w:val="Normal"/>
        <w:tabs>
          <w:tab w:val="clear" w:pos="708"/>
          <w:tab w:val="left" w:pos="851" w:leader="none"/>
        </w:tabs>
        <w:spacing w:lineRule="auto" w:line="276"/>
        <w:jc w:val="both"/>
        <w:rPr>
          <w:sz w:val="24"/>
          <w:szCs w:val="24"/>
        </w:rPr>
      </w:pPr>
      <w:r>
        <w:rPr>
          <w:sz w:val="24"/>
          <w:szCs w:val="24"/>
        </w:rPr>
      </w:r>
    </w:p>
    <w:p>
      <w:pPr>
        <w:pStyle w:val="Normal"/>
        <w:widowControl w:val="false"/>
        <w:spacing w:lineRule="auto" w:line="276"/>
        <w:jc w:val="both"/>
        <w:rPr>
          <w:sz w:val="24"/>
          <w:szCs w:val="24"/>
        </w:rPr>
      </w:pPr>
      <w:r>
        <w:rPr>
          <w:b/>
          <w:sz w:val="24"/>
          <w:szCs w:val="24"/>
        </w:rPr>
        <w:t>12.4.</w:t>
      </w:r>
      <w:r>
        <w:rPr>
          <w:sz w:val="24"/>
          <w:szCs w:val="24"/>
        </w:rPr>
        <w:t xml:space="preserve"> A imposição de qualquer penalidade não exime a CONTRATADA do cumprimento de suas obrigações, nem de promover as medidas necessárias para reparar ou ressarcir eventuais danos causados à CONTRATANTE.</w:t>
      </w:r>
    </w:p>
    <w:p>
      <w:pPr>
        <w:pStyle w:val="Normal"/>
        <w:widowControl w:val="false"/>
        <w:spacing w:lineRule="auto" w:line="276"/>
        <w:jc w:val="both"/>
        <w:rPr>
          <w:sz w:val="24"/>
          <w:szCs w:val="24"/>
        </w:rPr>
      </w:pPr>
      <w:r>
        <w:rPr>
          <w:sz w:val="24"/>
          <w:szCs w:val="24"/>
        </w:rPr>
      </w:r>
    </w:p>
    <w:p>
      <w:pPr>
        <w:pStyle w:val="Normal"/>
        <w:widowControl w:val="false"/>
        <w:spacing w:lineRule="auto" w:line="276"/>
        <w:jc w:val="both"/>
        <w:rPr>
          <w:sz w:val="24"/>
          <w:szCs w:val="24"/>
          <w:highlight w:val="yellow"/>
        </w:rPr>
      </w:pPr>
      <w:r>
        <w:rPr>
          <w:b/>
          <w:bCs/>
          <w:sz w:val="24"/>
          <w:szCs w:val="24"/>
        </w:rPr>
        <w:t xml:space="preserve">12.5. </w:t>
      </w:r>
      <w:r>
        <w:rPr>
          <w:sz w:val="24"/>
          <w:szCs w:val="24"/>
        </w:rPr>
        <w:t>Nas hipóteses de apresentação de documentação inverossímil, cometimento de fraude ou comportamento de modo inidôneo, a licitante poderá sofrer, além dos procedimentos cabíveis de atribuição desta instituição:</w:t>
      </w:r>
    </w:p>
    <w:p>
      <w:pPr>
        <w:pStyle w:val="Normal"/>
        <w:widowControl w:val="false"/>
        <w:spacing w:lineRule="auto" w:line="276"/>
        <w:ind w:firstLine="567"/>
        <w:jc w:val="both"/>
        <w:rPr>
          <w:sz w:val="24"/>
          <w:szCs w:val="24"/>
        </w:rPr>
      </w:pPr>
      <w:r>
        <w:rPr>
          <w:bCs/>
          <w:sz w:val="24"/>
          <w:szCs w:val="24"/>
        </w:rPr>
        <w:t xml:space="preserve">a) </w:t>
      </w:r>
      <w:r>
        <w:rPr>
          <w:sz w:val="24"/>
          <w:szCs w:val="24"/>
        </w:rPr>
        <w:t>Cancelamento do contrato se esta já estiver assinado, procedendo-se a paralisação do fornecimento;</w:t>
      </w:r>
    </w:p>
    <w:p>
      <w:pPr>
        <w:pStyle w:val="Normal"/>
        <w:widowControl w:val="false"/>
        <w:spacing w:lineRule="auto" w:line="276"/>
        <w:ind w:firstLine="567"/>
        <w:jc w:val="both"/>
        <w:rPr>
          <w:sz w:val="24"/>
          <w:szCs w:val="24"/>
        </w:rPr>
      </w:pPr>
      <w:r>
        <w:rPr>
          <w:sz w:val="24"/>
          <w:szCs w:val="24"/>
        </w:rPr>
      </w:r>
    </w:p>
    <w:p>
      <w:pPr>
        <w:pStyle w:val="Normal"/>
        <w:widowControl w:val="false"/>
        <w:spacing w:lineRule="auto" w:line="276"/>
        <w:jc w:val="both"/>
        <w:rPr>
          <w:sz w:val="24"/>
          <w:szCs w:val="24"/>
        </w:rPr>
      </w:pPr>
      <w:r>
        <w:rPr>
          <w:b/>
          <w:bCs/>
          <w:sz w:val="24"/>
          <w:szCs w:val="24"/>
        </w:rPr>
        <w:t xml:space="preserve">12.6. </w:t>
      </w:r>
      <w:r>
        <w:rPr>
          <w:sz w:val="24"/>
          <w:szCs w:val="24"/>
        </w:rPr>
        <w:t>Serão publicadas no Diário Oficial da União as sanções administrativas, inclusive a reabilitação perante a Administração Pública.</w:t>
      </w:r>
    </w:p>
    <w:p>
      <w:pPr>
        <w:pStyle w:val="Normal"/>
        <w:widowControl w:val="false"/>
        <w:spacing w:lineRule="auto" w:line="276"/>
        <w:jc w:val="both"/>
        <w:rPr>
          <w:sz w:val="24"/>
          <w:szCs w:val="24"/>
        </w:rPr>
      </w:pPr>
      <w:r>
        <w:rPr>
          <w:sz w:val="24"/>
          <w:szCs w:val="24"/>
        </w:rPr>
      </w:r>
    </w:p>
    <w:p>
      <w:pPr>
        <w:pStyle w:val="BodyText"/>
        <w:shd w:val="clear" w:color="auto" w:fill="D9D9D9"/>
        <w:spacing w:lineRule="auto" w:line="276"/>
        <w:jc w:val="both"/>
        <w:rPr>
          <w:b/>
          <w:sz w:val="24"/>
          <w:szCs w:val="24"/>
        </w:rPr>
      </w:pPr>
      <w:r>
        <w:rPr>
          <w:b/>
          <w:bCs w:val="false"/>
          <w:sz w:val="24"/>
          <w:szCs w:val="24"/>
        </w:rPr>
        <w:t>13 - CLÁUSULA DÉCIMA TECEIRA – RESCISÃO</w:t>
      </w:r>
    </w:p>
    <w:p>
      <w:pPr>
        <w:pStyle w:val="Normal"/>
        <w:spacing w:lineRule="auto" w:line="276"/>
        <w:jc w:val="both"/>
        <w:rPr>
          <w:sz w:val="24"/>
          <w:szCs w:val="24"/>
        </w:rPr>
      </w:pPr>
      <w:r>
        <w:rPr>
          <w:sz w:val="24"/>
          <w:szCs w:val="24"/>
        </w:rPr>
        <w:t>13.3. Da Rescisão Contratual:</w:t>
      </w:r>
    </w:p>
    <w:p>
      <w:pPr>
        <w:pStyle w:val="Normal"/>
        <w:spacing w:lineRule="auto" w:line="276"/>
        <w:ind w:firstLine="426"/>
        <w:jc w:val="both"/>
        <w:rPr>
          <w:sz w:val="24"/>
          <w:szCs w:val="24"/>
        </w:rPr>
      </w:pPr>
      <w:r>
        <w:rPr>
          <w:sz w:val="24"/>
          <w:szCs w:val="24"/>
        </w:rPr>
        <w:t>13.7.1. A Inexecução total ou parcial do contrato enseja a sua rescisão, conforme disposto nos artigos 155 a 139 da Lei nº 14.133/21.</w:t>
      </w:r>
    </w:p>
    <w:p>
      <w:pPr>
        <w:pStyle w:val="Normal"/>
        <w:spacing w:lineRule="auto" w:line="276"/>
        <w:ind w:firstLine="426"/>
        <w:jc w:val="both"/>
        <w:rPr>
          <w:sz w:val="24"/>
          <w:szCs w:val="24"/>
        </w:rPr>
      </w:pPr>
      <w:r>
        <w:rPr>
          <w:sz w:val="24"/>
          <w:szCs w:val="24"/>
        </w:rPr>
        <w:t>13.7.2. Os casos de rescisão contratual deverão ser formalmente motivados nos autos do processo assegurados o contraditório e ampla defesa;</w:t>
      </w:r>
    </w:p>
    <w:p>
      <w:pPr>
        <w:pStyle w:val="Normal"/>
        <w:spacing w:lineRule="auto" w:line="276"/>
        <w:ind w:firstLine="426"/>
        <w:jc w:val="both"/>
        <w:rPr>
          <w:sz w:val="24"/>
          <w:szCs w:val="24"/>
        </w:rPr>
      </w:pPr>
      <w:r>
        <w:rPr>
          <w:sz w:val="24"/>
          <w:szCs w:val="24"/>
        </w:rPr>
        <w:t>13.7.3. A rescisão do contrato poderá ser:</w:t>
      </w:r>
    </w:p>
    <w:p>
      <w:pPr>
        <w:pStyle w:val="ListParagraph"/>
        <w:numPr>
          <w:ilvl w:val="0"/>
          <w:numId w:val="26"/>
        </w:numPr>
        <w:spacing w:lineRule="auto" w:line="276"/>
        <w:jc w:val="both"/>
        <w:rPr>
          <w:sz w:val="24"/>
          <w:szCs w:val="24"/>
        </w:rPr>
      </w:pPr>
      <w:r>
        <w:rPr>
          <w:sz w:val="24"/>
          <w:szCs w:val="24"/>
        </w:rPr>
        <w:t xml:space="preserve">Determinada por ato unilateral e escrito pela Contratante, nos casos enumerados no Art. 137 da Lei mencionada, assegurando o contraditório e a ampla defesa. </w:t>
      </w:r>
    </w:p>
    <w:p>
      <w:pPr>
        <w:pStyle w:val="ListParagraph"/>
        <w:numPr>
          <w:ilvl w:val="0"/>
          <w:numId w:val="26"/>
        </w:numPr>
        <w:spacing w:lineRule="auto" w:line="276"/>
        <w:jc w:val="both"/>
        <w:rPr>
          <w:sz w:val="24"/>
          <w:szCs w:val="24"/>
        </w:rPr>
      </w:pPr>
      <w:r>
        <w:rPr>
          <w:sz w:val="24"/>
          <w:szCs w:val="24"/>
        </w:rPr>
        <w:t xml:space="preserve">Amigável, por acordo entre as partes, desde que haja conveniência para a Contratante; </w:t>
      </w:r>
    </w:p>
    <w:p>
      <w:pPr>
        <w:pStyle w:val="ListParagraph"/>
        <w:numPr>
          <w:ilvl w:val="0"/>
          <w:numId w:val="26"/>
        </w:numPr>
        <w:spacing w:lineRule="auto" w:line="276"/>
        <w:jc w:val="both"/>
        <w:rPr>
          <w:sz w:val="24"/>
          <w:szCs w:val="24"/>
        </w:rPr>
      </w:pPr>
      <w:r>
        <w:rPr>
          <w:sz w:val="24"/>
          <w:szCs w:val="24"/>
        </w:rPr>
        <w:t>Judicial, nos termos da legislação vigente sobre a matéria.</w:t>
      </w:r>
    </w:p>
    <w:p>
      <w:pPr>
        <w:pStyle w:val="Normal"/>
        <w:spacing w:lineRule="auto" w:line="276"/>
        <w:ind w:firstLine="426"/>
        <w:jc w:val="both"/>
        <w:rPr>
          <w:sz w:val="24"/>
          <w:szCs w:val="24"/>
        </w:rPr>
      </w:pPr>
      <w:r>
        <w:rPr>
          <w:sz w:val="24"/>
          <w:szCs w:val="24"/>
        </w:rPr>
        <w:t xml:space="preserve">13.7.4. A rescisão administrativa ou amigável deverá ser precedida de autorização escrita e fundamentada da autoridade competente. </w:t>
      </w:r>
    </w:p>
    <w:p>
      <w:pPr>
        <w:pStyle w:val="Normal"/>
        <w:spacing w:lineRule="auto" w:line="276"/>
        <w:ind w:firstLine="426"/>
        <w:jc w:val="both"/>
        <w:rPr>
          <w:sz w:val="24"/>
          <w:szCs w:val="24"/>
        </w:rPr>
      </w:pPr>
      <w:r>
        <w:rPr>
          <w:sz w:val="24"/>
          <w:szCs w:val="24"/>
        </w:rPr>
      </w:r>
    </w:p>
    <w:p>
      <w:pPr>
        <w:pStyle w:val="BodyText"/>
        <w:shd w:val="clear" w:color="auto" w:fill="D9D9D9"/>
        <w:spacing w:lineRule="auto" w:line="276"/>
        <w:jc w:val="both"/>
        <w:rPr>
          <w:b/>
          <w:sz w:val="24"/>
          <w:szCs w:val="24"/>
        </w:rPr>
      </w:pPr>
      <w:r>
        <w:rPr>
          <w:b/>
          <w:bCs w:val="false"/>
          <w:sz w:val="24"/>
          <w:szCs w:val="24"/>
        </w:rPr>
        <w:t>14 - CLÁUSULA DÉCIMA QUARTA – VEDAÇÕES E PERMISSÕES</w:t>
      </w:r>
    </w:p>
    <w:p>
      <w:pPr>
        <w:pStyle w:val="Normal"/>
        <w:spacing w:lineRule="auto" w:line="276" w:before="0" w:after="200"/>
        <w:jc w:val="both"/>
        <w:rPr>
          <w:sz w:val="24"/>
          <w:szCs w:val="24"/>
        </w:rPr>
      </w:pPr>
      <w:r>
        <w:rPr>
          <w:sz w:val="24"/>
          <w:szCs w:val="24"/>
        </w:rPr>
        <w:t>14.1. É vedado à CONTRATADA interromper a execução dos serviços sob alegação de inadimplemento por parte da CONTRATANTE, salvo nos casos previstos em lei.</w:t>
      </w:r>
    </w:p>
    <w:p>
      <w:pPr>
        <w:pStyle w:val="Normal"/>
        <w:spacing w:lineRule="auto" w:line="276" w:before="0" w:after="200"/>
        <w:jc w:val="both"/>
        <w:rPr>
          <w:sz w:val="24"/>
          <w:szCs w:val="24"/>
        </w:rPr>
      </w:pPr>
      <w:r>
        <w:rPr>
          <w:sz w:val="24"/>
          <w:szCs w:val="24"/>
        </w:rPr>
        <w:t>14.2. É permitido à CONTRATADA caucionar ou utilizar este Termo de Contrato para qualquer operação financeira, nos termos e de acordo com os procedimentos previstos na Instrução Normativa SEGES/ME nº 53, de 8 de Julho de 2020.</w:t>
      </w:r>
    </w:p>
    <w:p>
      <w:pPr>
        <w:pStyle w:val="Normal"/>
        <w:spacing w:lineRule="auto" w:line="276" w:before="0" w:after="200"/>
        <w:jc w:val="both"/>
        <w:rPr>
          <w:sz w:val="24"/>
          <w:szCs w:val="24"/>
        </w:rPr>
      </w:pPr>
      <w:r>
        <w:rPr>
          <w:sz w:val="24"/>
          <w:szCs w:val="24"/>
        </w:rPr>
        <w:t>14.3. 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pPr>
        <w:pStyle w:val="Normal"/>
        <w:spacing w:lineRule="auto" w:line="276" w:before="0" w:after="200"/>
        <w:jc w:val="both"/>
        <w:rPr>
          <w:sz w:val="24"/>
          <w:szCs w:val="24"/>
        </w:rPr>
      </w:pPr>
      <w:r>
        <w:rPr>
          <w:sz w:val="24"/>
          <w:szCs w:val="24"/>
        </w:rPr>
        <w:t>14.4. A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e nº 67/2021 caso aplicáveis.</w:t>
      </w:r>
    </w:p>
    <w:p>
      <w:pPr>
        <w:pStyle w:val="BodyText"/>
        <w:shd w:val="clear" w:color="auto" w:fill="D9D9D9"/>
        <w:spacing w:lineRule="auto" w:line="276"/>
        <w:jc w:val="both"/>
        <w:rPr>
          <w:b/>
          <w:sz w:val="24"/>
          <w:szCs w:val="24"/>
        </w:rPr>
      </w:pPr>
      <w:r>
        <w:rPr>
          <w:b/>
          <w:bCs w:val="false"/>
          <w:sz w:val="24"/>
          <w:szCs w:val="24"/>
        </w:rPr>
        <w:t>15 - CLÁUSULA DÉCIMA QUINTA – ALTERAÇÕES</w:t>
      </w:r>
    </w:p>
    <w:p>
      <w:pPr>
        <w:pStyle w:val="Normal"/>
        <w:spacing w:lineRule="auto" w:line="276" w:before="0" w:after="200"/>
        <w:jc w:val="both"/>
        <w:rPr>
          <w:sz w:val="24"/>
          <w:szCs w:val="24"/>
        </w:rPr>
      </w:pPr>
      <w:r>
        <w:rPr>
          <w:sz w:val="24"/>
          <w:szCs w:val="24"/>
        </w:rPr>
        <w:t>15.1. Eventuais alterações contratuais reger-se-ão pela disciplina do art. 136 da Lei nº 14.133/21.</w:t>
      </w:r>
    </w:p>
    <w:p>
      <w:pPr>
        <w:pStyle w:val="Normal"/>
        <w:spacing w:lineRule="auto" w:line="276" w:before="0" w:after="200"/>
        <w:jc w:val="both"/>
        <w:rPr>
          <w:sz w:val="24"/>
          <w:szCs w:val="24"/>
        </w:rPr>
      </w:pPr>
      <w:r>
        <w:rPr>
          <w:sz w:val="24"/>
          <w:szCs w:val="24"/>
        </w:rPr>
        <w:t>15.2. A CONTRATADA é obrigada a aceitar, nas mesmas condições contratuais, os acréscimos ou supressões que se fizerem necessários, até o limite de 25% (vinte e cinco por cento) do valor inicial atualizado do contrato, conforme previsto no art. 125 da 14.133/21.</w:t>
      </w:r>
    </w:p>
    <w:p>
      <w:pPr>
        <w:pStyle w:val="Normal"/>
        <w:spacing w:lineRule="auto" w:line="276" w:before="0" w:after="200"/>
        <w:jc w:val="both"/>
        <w:rPr>
          <w:sz w:val="24"/>
          <w:szCs w:val="24"/>
        </w:rPr>
      </w:pPr>
      <w:r>
        <w:rPr>
          <w:sz w:val="24"/>
          <w:szCs w:val="24"/>
        </w:rPr>
        <w:t xml:space="preserve">15.3. As supressões resultantes de acordo celebrado entre as partes contratantes poderão exceder o limite de 25% (vinte e cinco por cento) do valor inicial atualizado do contrato. </w:t>
      </w:r>
    </w:p>
    <w:p>
      <w:pPr>
        <w:pStyle w:val="BodyText"/>
        <w:shd w:val="clear" w:color="auto" w:fill="D9D9D9"/>
        <w:spacing w:lineRule="auto" w:line="276"/>
        <w:jc w:val="both"/>
        <w:rPr>
          <w:b/>
          <w:sz w:val="24"/>
          <w:szCs w:val="24"/>
        </w:rPr>
      </w:pPr>
      <w:r>
        <w:rPr>
          <w:b/>
          <w:bCs w:val="false"/>
          <w:sz w:val="24"/>
          <w:szCs w:val="24"/>
        </w:rPr>
        <w:t>16 - CLÁUSULA DÉCIMA SEXTA – DOS CASOS OMISSOS</w:t>
      </w:r>
    </w:p>
    <w:p>
      <w:pPr>
        <w:pStyle w:val="BodyText"/>
        <w:spacing w:lineRule="auto" w:line="276"/>
        <w:jc w:val="both"/>
        <w:rPr/>
      </w:pPr>
      <w:r>
        <w:rPr>
          <w:sz w:val="24"/>
          <w:szCs w:val="24"/>
        </w:rPr>
        <w:t>16.1. Os casos omissos serão decididos pela CONTRATANTE, segundo as disposições contidas na Lei nº 14.133/21 e demais normas federais de licitações e contratos administrativos e, subsidiariamente, segundo as disposições contidas na Lei nº 8.078, de 1990 - Código de Defesa do Consumidor - e normas e princípios gerais dos contratos</w:t>
      </w:r>
    </w:p>
    <w:p>
      <w:pPr>
        <w:pStyle w:val="BodyText"/>
        <w:spacing w:lineRule="auto" w:line="276"/>
        <w:jc w:val="both"/>
        <w:rPr>
          <w:b/>
          <w:sz w:val="24"/>
          <w:szCs w:val="24"/>
        </w:rPr>
      </w:pPr>
      <w:r>
        <w:rPr>
          <w:b/>
          <w:sz w:val="24"/>
          <w:szCs w:val="24"/>
        </w:rPr>
      </w:r>
    </w:p>
    <w:p>
      <w:pPr>
        <w:pStyle w:val="BodyText"/>
        <w:shd w:val="clear" w:color="auto" w:fill="D9D9D9"/>
        <w:spacing w:lineRule="auto" w:line="276"/>
        <w:jc w:val="both"/>
        <w:rPr>
          <w:b/>
          <w:sz w:val="24"/>
          <w:szCs w:val="24"/>
        </w:rPr>
      </w:pPr>
      <w:r>
        <w:rPr>
          <w:b/>
          <w:bCs w:val="false"/>
          <w:sz w:val="24"/>
          <w:szCs w:val="24"/>
        </w:rPr>
        <w:t>17 - CLÁUSULA DÉCIMA SÉTIMA – PUBLICAÇÃO</w:t>
      </w:r>
    </w:p>
    <w:p>
      <w:pPr>
        <w:pStyle w:val="Normal"/>
        <w:spacing w:lineRule="auto" w:line="276" w:before="0" w:after="200"/>
        <w:jc w:val="both"/>
        <w:rPr>
          <w:sz w:val="24"/>
          <w:szCs w:val="24"/>
        </w:rPr>
      </w:pPr>
      <w:r>
        <w:rPr>
          <w:sz w:val="24"/>
          <w:szCs w:val="24"/>
        </w:rPr>
        <w:t>17.1. Incumbirá à CONTRATANTE providenciar a publicação deste instrumento, por extrato, no Diário Oficial da União, no prazo previsto na Lei nº 14.133/21.</w:t>
      </w:r>
    </w:p>
    <w:p>
      <w:pPr>
        <w:pStyle w:val="BodyText"/>
        <w:shd w:val="clear" w:color="auto" w:fill="D9D9D9"/>
        <w:spacing w:lineRule="auto" w:line="276"/>
        <w:jc w:val="both"/>
        <w:rPr>
          <w:b/>
          <w:sz w:val="24"/>
          <w:szCs w:val="24"/>
        </w:rPr>
      </w:pPr>
      <w:r>
        <w:rPr>
          <w:b/>
          <w:bCs w:val="false"/>
          <w:sz w:val="24"/>
          <w:szCs w:val="24"/>
        </w:rPr>
        <w:t>18 - CLÁUSULA DÉCIMA OITAVA – FORO</w:t>
      </w:r>
    </w:p>
    <w:p>
      <w:pPr>
        <w:pStyle w:val="Normal"/>
        <w:spacing w:lineRule="auto" w:line="276" w:before="0" w:after="200"/>
        <w:jc w:val="both"/>
        <w:rPr>
          <w:sz w:val="24"/>
          <w:szCs w:val="24"/>
        </w:rPr>
      </w:pPr>
      <w:r>
        <w:rPr>
          <w:sz w:val="24"/>
          <w:szCs w:val="24"/>
        </w:rPr>
        <w:t>18.1. É eleito o Foro da(e) Seção Judiciária da Justiça Federal da Comarca de Cuiabá, para dirimir os litígios que decorrerem da execução deste Termo de Contrato que não possam ser compostos pela conciliação, conforme art. 92, §1º da Lei nº 14.133/21.</w:t>
      </w:r>
    </w:p>
    <w:p>
      <w:pPr>
        <w:pStyle w:val="Normal"/>
        <w:spacing w:lineRule="auto" w:line="276" w:before="0" w:after="200"/>
        <w:jc w:val="both"/>
        <w:rPr>
          <w:sz w:val="24"/>
          <w:szCs w:val="24"/>
        </w:rPr>
      </w:pPr>
      <w:r>
        <w:rPr>
          <w:sz w:val="24"/>
          <w:szCs w:val="24"/>
        </w:rPr>
        <w:t>Para firmeza e validade do pactuado, o presente Termo de Contrato foi lavrado em 02 (duas) vias de igual teor, que, depois de lido e achado em ordem, vai assinado pelos contraentes.</w:t>
      </w:r>
    </w:p>
    <w:p>
      <w:pPr>
        <w:pStyle w:val="Normal"/>
        <w:spacing w:lineRule="auto" w:line="276" w:before="0" w:after="200"/>
        <w:jc w:val="right"/>
        <w:rPr>
          <w:sz w:val="24"/>
          <w:szCs w:val="24"/>
        </w:rPr>
      </w:pPr>
      <w:r>
        <w:rPr>
          <w:sz w:val="24"/>
          <w:szCs w:val="24"/>
        </w:rPr>
        <w:t>Cuiabá, 0X de XXX de 202X.</w:t>
      </w:r>
    </w:p>
    <w:p>
      <w:pPr>
        <w:pStyle w:val="Normal"/>
        <w:rPr/>
      </w:pPr>
      <w:r>
        <w:rPr/>
      </w:r>
    </w:p>
    <w:p>
      <w:pPr>
        <w:pStyle w:val="Normal"/>
        <w:rPr/>
      </w:pPr>
      <w:r>
        <w:rPr/>
      </w:r>
    </w:p>
    <w:p>
      <w:pPr>
        <w:pStyle w:val="Normal"/>
        <w:rPr/>
      </w:pPr>
      <w:r>
        <w:rPr/>
      </w:r>
    </w:p>
    <w:p>
      <w:pPr>
        <w:sectPr>
          <w:headerReference w:type="default" r:id="rId22"/>
          <w:footerReference w:type="default" r:id="rId23"/>
          <w:type w:val="nextPage"/>
          <w:pgSz w:w="11906" w:h="16838"/>
          <w:pgMar w:left="851" w:right="849" w:gutter="0" w:header="708" w:top="1417" w:footer="708" w:bottom="1417"/>
          <w:pgNumType w:fmt="decimal"/>
          <w:formProt w:val="false"/>
          <w:textDirection w:val="lrTb"/>
          <w:docGrid w:type="default" w:linePitch="600" w:charSpace="40960"/>
        </w:sectPr>
      </w:pPr>
    </w:p>
    <w:p>
      <w:pPr>
        <w:pStyle w:val="Normal"/>
        <w:spacing w:lineRule="auto" w:line="276"/>
        <w:jc w:val="center"/>
        <w:rPr>
          <w:sz w:val="24"/>
          <w:szCs w:val="24"/>
        </w:rPr>
      </w:pPr>
      <w:r>
        <w:rPr>
          <w:sz w:val="24"/>
          <w:szCs w:val="24"/>
        </w:rPr>
        <w:t>Presidente do CRO/MT</w:t>
      </w:r>
    </w:p>
    <w:p>
      <w:pPr>
        <w:pStyle w:val="Normal"/>
        <w:spacing w:lineRule="auto" w:line="276"/>
        <w:jc w:val="center"/>
        <w:rPr>
          <w:b/>
          <w:sz w:val="24"/>
          <w:szCs w:val="24"/>
        </w:rPr>
      </w:pPr>
      <w:r>
        <w:rPr>
          <w:b/>
          <w:sz w:val="24"/>
          <w:szCs w:val="24"/>
        </w:rPr>
        <w:t>CONTRATANTE</w:t>
      </w:r>
    </w:p>
    <w:p>
      <w:pPr>
        <w:pStyle w:val="Normal"/>
        <w:spacing w:lineRule="auto" w:line="276"/>
        <w:jc w:val="center"/>
        <w:rPr>
          <w:b/>
          <w:sz w:val="24"/>
          <w:szCs w:val="24"/>
        </w:rPr>
      </w:pPr>
      <w:r>
        <w:rPr>
          <w:b/>
          <w:sz w:val="24"/>
          <w:szCs w:val="24"/>
        </w:rPr>
      </w:r>
    </w:p>
    <w:p>
      <w:pPr>
        <w:pStyle w:val="Normal"/>
        <w:spacing w:lineRule="auto" w:line="276"/>
        <w:jc w:val="center"/>
        <w:rPr>
          <w:b/>
          <w:sz w:val="24"/>
          <w:szCs w:val="24"/>
        </w:rPr>
      </w:pPr>
      <w:r>
        <w:rPr>
          <w:b/>
          <w:sz w:val="24"/>
          <w:szCs w:val="24"/>
        </w:rPr>
      </w:r>
    </w:p>
    <w:p>
      <w:pPr>
        <w:pStyle w:val="Normal"/>
        <w:spacing w:lineRule="auto" w:line="276"/>
        <w:jc w:val="center"/>
        <w:rPr>
          <w:sz w:val="24"/>
          <w:szCs w:val="24"/>
        </w:rPr>
      </w:pPr>
      <w:r>
        <w:rPr>
          <w:sz w:val="24"/>
          <w:szCs w:val="24"/>
        </w:rPr>
        <w:t>Tesoureiro do CRO/MT</w:t>
      </w:r>
    </w:p>
    <w:p>
      <w:pPr>
        <w:pStyle w:val="Normal"/>
        <w:spacing w:lineRule="auto" w:line="276"/>
        <w:jc w:val="center"/>
        <w:rPr>
          <w:b/>
          <w:sz w:val="24"/>
          <w:szCs w:val="24"/>
        </w:rPr>
      </w:pPr>
      <w:r>
        <w:rPr>
          <w:b/>
          <w:sz w:val="24"/>
          <w:szCs w:val="24"/>
        </w:rPr>
        <w:t>CONTRATANTE</w:t>
      </w:r>
    </w:p>
    <w:p>
      <w:pPr>
        <w:pStyle w:val="Normal"/>
        <w:spacing w:lineRule="auto" w:line="276"/>
        <w:jc w:val="center"/>
        <w:rPr>
          <w:b/>
          <w:sz w:val="24"/>
          <w:szCs w:val="24"/>
        </w:rPr>
      </w:pPr>
      <w:r>
        <w:rPr>
          <w:b/>
          <w:sz w:val="24"/>
          <w:szCs w:val="24"/>
        </w:rPr>
      </w:r>
    </w:p>
    <w:p>
      <w:pPr>
        <w:pStyle w:val="Normal"/>
        <w:spacing w:lineRule="auto" w:line="276"/>
        <w:jc w:val="center"/>
        <w:rPr>
          <w:sz w:val="24"/>
          <w:szCs w:val="24"/>
        </w:rPr>
      </w:pPr>
      <w:r>
        <w:rPr>
          <w:sz w:val="24"/>
          <w:szCs w:val="24"/>
        </w:rPr>
        <w:t>Secretária do CRO/MT</w:t>
      </w:r>
    </w:p>
    <w:p>
      <w:pPr>
        <w:pStyle w:val="Normal"/>
        <w:spacing w:lineRule="auto" w:line="276"/>
        <w:jc w:val="center"/>
        <w:rPr>
          <w:b/>
          <w:sz w:val="24"/>
          <w:szCs w:val="24"/>
        </w:rPr>
      </w:pPr>
      <w:r>
        <w:rPr>
          <w:b/>
          <w:sz w:val="24"/>
          <w:szCs w:val="24"/>
        </w:rPr>
        <w:t>CONTRATANTE</w:t>
      </w:r>
    </w:p>
    <w:p>
      <w:pPr>
        <w:pStyle w:val="Normal"/>
        <w:spacing w:lineRule="auto" w:line="276"/>
        <w:jc w:val="center"/>
        <w:rPr>
          <w:b/>
          <w:sz w:val="24"/>
          <w:szCs w:val="24"/>
        </w:rPr>
      </w:pPr>
      <w:r>
        <w:rPr>
          <w:b/>
          <w:sz w:val="24"/>
          <w:szCs w:val="24"/>
        </w:rPr>
      </w:r>
    </w:p>
    <w:p>
      <w:pPr>
        <w:pStyle w:val="Normal"/>
        <w:spacing w:lineRule="auto" w:line="276"/>
        <w:jc w:val="center"/>
        <w:rPr>
          <w:b/>
          <w:sz w:val="24"/>
          <w:szCs w:val="24"/>
        </w:rPr>
      </w:pPr>
      <w:r>
        <w:rPr>
          <w:b/>
          <w:sz w:val="24"/>
          <w:szCs w:val="24"/>
        </w:rPr>
      </w:r>
    </w:p>
    <w:p>
      <w:pPr>
        <w:pStyle w:val="Normal"/>
        <w:spacing w:lineRule="auto" w:line="276"/>
        <w:jc w:val="center"/>
        <w:rPr>
          <w:sz w:val="24"/>
          <w:szCs w:val="24"/>
        </w:rPr>
      </w:pPr>
      <w:r>
        <w:rPr>
          <w:sz w:val="24"/>
          <w:szCs w:val="24"/>
        </w:rPr>
        <w:t>Procurador(a)/Administrador(a)</w:t>
      </w:r>
    </w:p>
    <w:p>
      <w:pPr>
        <w:pStyle w:val="Normal"/>
        <w:spacing w:lineRule="auto" w:line="276"/>
        <w:jc w:val="center"/>
        <w:rPr>
          <w:sz w:val="24"/>
          <w:szCs w:val="24"/>
        </w:rPr>
      </w:pPr>
      <w:r>
        <w:rPr>
          <w:b/>
          <w:sz w:val="24"/>
          <w:szCs w:val="24"/>
        </w:rPr>
        <w:t>CONTRATADO</w:t>
      </w:r>
    </w:p>
    <w:p>
      <w:pPr>
        <w:sectPr>
          <w:type w:val="continuous"/>
          <w:pgSz w:w="11906" w:h="16838"/>
          <w:pgMar w:left="851" w:right="849" w:gutter="0" w:header="708" w:top="1417" w:footer="708" w:bottom="1417"/>
          <w:cols w:num="2" w:space="708" w:equalWidth="true" w:sep="false"/>
          <w:formProt w:val="false"/>
          <w:textDirection w:val="lrTb"/>
          <w:docGrid w:type="default" w:linePitch="600" w:charSpace="40960"/>
        </w:sectPr>
      </w:pPr>
    </w:p>
    <w:p>
      <w:pPr>
        <w:pStyle w:val="Normal"/>
        <w:rPr>
          <w:sz w:val="24"/>
          <w:szCs w:val="24"/>
        </w:rPr>
      </w:pPr>
      <w:r>
        <w:rPr>
          <w:sz w:val="24"/>
          <w:szCs w:val="24"/>
        </w:rPr>
      </w:r>
      <w:r>
        <w:br w:type="page"/>
      </w:r>
    </w:p>
    <w:p>
      <w:pPr>
        <w:pStyle w:val="Normal"/>
        <w:spacing w:before="0" w:after="0"/>
        <w:rPr>
          <w:sz w:val="24"/>
          <w:szCs w:val="24"/>
        </w:rPr>
      </w:pPr>
      <w:r>
        <w:rPr>
          <w:sz w:val="24"/>
          <w:szCs w:val="24"/>
        </w:rPr>
      </w:r>
    </w:p>
    <w:p>
      <w:pPr>
        <w:pStyle w:val="Normal"/>
        <w:jc w:val="center"/>
        <w:rPr>
          <w:b/>
          <w:bCs/>
          <w:sz w:val="24"/>
          <w:szCs w:val="24"/>
        </w:rPr>
      </w:pPr>
      <w:r>
        <w:rPr>
          <w:b/>
          <w:bCs/>
          <w:sz w:val="24"/>
          <w:szCs w:val="24"/>
        </w:rPr>
        <w:t>ANEXO IX</w:t>
      </w:r>
    </w:p>
    <w:p>
      <w:pPr>
        <w:pStyle w:val="Normal"/>
        <w:shd w:val="clear" w:color="auto" w:fill="D0CECE" w:themeFill="background2" w:themeFillShade="e6"/>
        <w:spacing w:lineRule="auto" w:line="360"/>
        <w:ind w:left="-426"/>
        <w:jc w:val="both"/>
        <w:rPr>
          <w:sz w:val="24"/>
          <w:szCs w:val="24"/>
        </w:rPr>
      </w:pPr>
      <w:r>
        <w:rPr>
          <w:b/>
          <w:sz w:val="24"/>
          <w:szCs w:val="24"/>
        </w:rPr>
        <w:t>ESTUDO TÉCNICO PRELIMINAR - ETP</w:t>
      </w:r>
    </w:p>
    <w:p>
      <w:pPr>
        <w:pStyle w:val="Normal"/>
        <w:spacing w:lineRule="auto" w:line="360"/>
        <w:ind w:left="-426"/>
        <w:jc w:val="both"/>
        <w:rPr>
          <w:bCs/>
          <w:sz w:val="24"/>
          <w:szCs w:val="24"/>
        </w:rPr>
      </w:pPr>
      <w:r>
        <w:rPr>
          <w:bCs/>
          <w:sz w:val="24"/>
          <w:szCs w:val="24"/>
        </w:rPr>
        <w:t>Órgão: Conselho Regional de Odontologia de Mato Grosso- CROMT</w:t>
      </w:r>
    </w:p>
    <w:p>
      <w:pPr>
        <w:pStyle w:val="Normal"/>
        <w:spacing w:lineRule="auto" w:line="360"/>
        <w:ind w:left="-426"/>
        <w:jc w:val="both"/>
        <w:rPr>
          <w:bCs/>
          <w:sz w:val="24"/>
          <w:szCs w:val="24"/>
        </w:rPr>
      </w:pPr>
      <w:r>
        <w:rPr>
          <w:bCs/>
          <w:sz w:val="24"/>
          <w:szCs w:val="24"/>
        </w:rPr>
        <w:t>Setor requisitante: FISCALIZAÇÃO DE CONTRATOS</w:t>
      </w:r>
    </w:p>
    <w:p>
      <w:pPr>
        <w:pStyle w:val="Normal"/>
        <w:spacing w:lineRule="auto" w:line="360"/>
        <w:ind w:left="-426"/>
        <w:jc w:val="both"/>
        <w:rPr>
          <w:bCs/>
          <w:sz w:val="24"/>
          <w:szCs w:val="24"/>
        </w:rPr>
      </w:pPr>
      <w:r>
        <w:rPr>
          <w:bCs/>
          <w:sz w:val="24"/>
          <w:szCs w:val="24"/>
        </w:rPr>
        <w:t>Responsável pela demanda: IURYKA BORGES FERNANDES</w:t>
      </w:r>
    </w:p>
    <w:p>
      <w:pPr>
        <w:pStyle w:val="Normal"/>
        <w:spacing w:lineRule="auto" w:line="276"/>
        <w:ind w:left="-426"/>
        <w:jc w:val="both"/>
        <w:rPr>
          <w:bCs/>
          <w:sz w:val="24"/>
          <w:szCs w:val="24"/>
        </w:rPr>
      </w:pPr>
      <w:r>
        <w:rPr>
          <w:bCs/>
          <w:sz w:val="24"/>
          <w:szCs w:val="24"/>
        </w:rPr>
        <w:t>Telefone/ramal: (65) 2193-7518</w:t>
      </w:r>
    </w:p>
    <w:p>
      <w:pPr>
        <w:pStyle w:val="Normal"/>
        <w:spacing w:lineRule="auto" w:line="276"/>
        <w:ind w:left="-426"/>
        <w:jc w:val="both"/>
        <w:rPr>
          <w:bCs/>
          <w:sz w:val="24"/>
          <w:szCs w:val="24"/>
        </w:rPr>
      </w:pPr>
      <w:r>
        <w:rPr>
          <w:bCs/>
          <w:sz w:val="24"/>
          <w:szCs w:val="24"/>
        </w:rPr>
        <w:t>E-mail: contrato@cromt.org.br</w:t>
      </w:r>
    </w:p>
    <w:p>
      <w:pPr>
        <w:pStyle w:val="ListParagraph"/>
        <w:numPr>
          <w:ilvl w:val="0"/>
          <w:numId w:val="29"/>
        </w:numPr>
        <w:shd w:val="clear" w:color="auto" w:fill="D0CECE" w:themeFill="background2" w:themeFillShade="e6"/>
        <w:spacing w:lineRule="auto" w:line="360"/>
        <w:jc w:val="both"/>
        <w:rPr>
          <w:b/>
          <w:sz w:val="24"/>
          <w:szCs w:val="24"/>
        </w:rPr>
      </w:pPr>
      <w:r>
        <w:rPr>
          <w:b/>
          <w:sz w:val="24"/>
          <w:szCs w:val="24"/>
        </w:rPr>
        <w:t>INTRODUÇÃO</w:t>
      </w:r>
    </w:p>
    <w:p>
      <w:pPr>
        <w:pStyle w:val="Normal"/>
        <w:spacing w:lineRule="auto" w:line="360"/>
        <w:ind w:left="-397"/>
        <w:jc w:val="both"/>
        <w:rPr>
          <w:sz w:val="24"/>
          <w:szCs w:val="24"/>
        </w:rPr>
      </w:pPr>
      <w:r>
        <w:rPr>
          <w:sz w:val="24"/>
          <w:szCs w:val="24"/>
        </w:rPr>
        <w:t>1.1 O presente documento caracteriza a primeira etapa da fase de planejamento e apresenta os devidos estudos para a contratação de solução que atenderá à necessidade abaixo especificada.</w:t>
      </w:r>
    </w:p>
    <w:p>
      <w:pPr>
        <w:pStyle w:val="Normal"/>
        <w:spacing w:lineRule="auto" w:line="360"/>
        <w:ind w:left="-426"/>
        <w:jc w:val="both"/>
        <w:rPr>
          <w:sz w:val="24"/>
          <w:szCs w:val="24"/>
        </w:rPr>
      </w:pPr>
      <w:r>
        <w:rPr>
          <w:sz w:val="24"/>
          <w:szCs w:val="24"/>
        </w:rPr>
        <w:t>1.2 O objetivo principal é estudar detalhadamente a necessidade e identificar no mercado a melhor solução para supri-la, em observância às normas vigentes e aos princípios que regem a Administração Pública.</w:t>
      </w:r>
    </w:p>
    <w:p>
      <w:pPr>
        <w:pStyle w:val="Normal"/>
        <w:shd w:val="clear" w:color="auto" w:fill="D0CECE" w:themeFill="background2" w:themeFillShade="e6"/>
        <w:spacing w:lineRule="auto" w:line="360"/>
        <w:ind w:left="-426"/>
        <w:jc w:val="both"/>
        <w:rPr>
          <w:b/>
          <w:sz w:val="24"/>
          <w:szCs w:val="24"/>
        </w:rPr>
      </w:pPr>
      <w:r>
        <w:rPr>
          <w:b/>
          <w:sz w:val="24"/>
          <w:szCs w:val="24"/>
        </w:rPr>
        <w:t>2. DESCRIÇÃO DA NECESSIDADE/ OBJETO DA CONTRATAÇÃO</w:t>
      </w:r>
    </w:p>
    <w:p>
      <w:pPr>
        <w:pStyle w:val="Normal"/>
        <w:spacing w:lineRule="auto" w:line="360"/>
        <w:ind w:left="-426"/>
        <w:jc w:val="both"/>
        <w:rPr>
          <w:color w:val="000000"/>
          <w:sz w:val="24"/>
          <w:szCs w:val="24"/>
        </w:rPr>
      </w:pPr>
      <w:r>
        <w:rPr>
          <w:color w:val="000000"/>
          <w:sz w:val="24"/>
          <w:szCs w:val="24"/>
        </w:rPr>
        <w:t>2.1 Contratação de empresa para prestação de serviços de emissão de passagens aéreas e rodoviárias para atender as necessidades da sede do Conselho Regional de Odontologia e suas cedes conforme documentação e seus anexos.</w:t>
      </w:r>
    </w:p>
    <w:p>
      <w:pPr>
        <w:pStyle w:val="Normal"/>
        <w:spacing w:lineRule="auto" w:line="360"/>
        <w:ind w:left="-426"/>
        <w:jc w:val="both"/>
        <w:rPr>
          <w:color w:val="000000"/>
          <w:sz w:val="24"/>
          <w:szCs w:val="24"/>
        </w:rPr>
      </w:pPr>
      <w:r>
        <w:rPr>
          <w:color w:val="000000"/>
          <w:sz w:val="24"/>
          <w:szCs w:val="24"/>
        </w:rPr>
        <w:t>2.2 Os referidos serviços não podem ter interrupção de continuidade, uma vez que são considerados</w:t>
      </w:r>
    </w:p>
    <w:p>
      <w:pPr>
        <w:pStyle w:val="Normal"/>
        <w:spacing w:lineRule="auto" w:line="360"/>
        <w:ind w:left="-426"/>
        <w:jc w:val="both"/>
        <w:rPr>
          <w:sz w:val="24"/>
          <w:szCs w:val="24"/>
        </w:rPr>
      </w:pPr>
      <w:r>
        <w:rPr>
          <w:color w:val="000000"/>
          <w:sz w:val="24"/>
          <w:szCs w:val="24"/>
        </w:rPr>
        <w:t>continuados, nos termos da IN nº 5, de 26 de maio de 2017. Assim, esta contratação será realizada prevendo a vigência de 12 (doze) meses, prorrogáveis até o limite de 60 (sessenta) meses, em atenção ao Art. 106. Da Lei 14.133/2021.</w:t>
      </w:r>
    </w:p>
    <w:p>
      <w:pPr>
        <w:pStyle w:val="Normal"/>
        <w:shd w:val="clear" w:color="auto" w:fill="D0CECE" w:themeFill="background2" w:themeFillShade="e6"/>
        <w:spacing w:lineRule="auto" w:line="360"/>
        <w:ind w:left="-426"/>
        <w:jc w:val="both"/>
        <w:textAlignment w:val="baseline"/>
        <w:rPr>
          <w:b/>
          <w:bCs/>
          <w:color w:val="000000"/>
          <w:sz w:val="24"/>
          <w:szCs w:val="24"/>
        </w:rPr>
      </w:pPr>
      <w:r>
        <w:rPr>
          <w:b/>
          <w:bCs/>
          <w:color w:val="000000"/>
          <w:sz w:val="24"/>
          <w:szCs w:val="24"/>
        </w:rPr>
        <w:t>3. PREVISÃO NO PLANO DE CONTRATAÇÕES ANUAL</w:t>
      </w:r>
    </w:p>
    <w:p>
      <w:pPr>
        <w:pStyle w:val="Normal"/>
        <w:spacing w:lineRule="auto" w:line="360"/>
        <w:ind w:firstLine="426" w:left="-426"/>
        <w:jc w:val="both"/>
        <w:rPr>
          <w:sz w:val="24"/>
          <w:szCs w:val="24"/>
        </w:rPr>
      </w:pPr>
      <w:r>
        <w:rPr>
          <w:color w:val="000000"/>
          <w:sz w:val="24"/>
          <w:szCs w:val="24"/>
        </w:rPr>
        <w:t>3.1 A demanda está prevista no Plano Anual de Contratações do CROMT 2024 e despacho da Presidente.</w:t>
      </w:r>
    </w:p>
    <w:p>
      <w:pPr>
        <w:pStyle w:val="Normal"/>
        <w:shd w:val="clear" w:color="auto" w:fill="D0CECE" w:themeFill="background2" w:themeFillShade="e6"/>
        <w:spacing w:lineRule="auto" w:line="360"/>
        <w:ind w:left="-426"/>
        <w:jc w:val="both"/>
        <w:rPr>
          <w:b/>
          <w:bCs/>
          <w:color w:val="000000"/>
          <w:sz w:val="24"/>
          <w:szCs w:val="24"/>
        </w:rPr>
      </w:pPr>
      <w:r>
        <w:rPr>
          <w:b/>
          <w:bCs/>
          <w:color w:val="000000"/>
          <w:sz w:val="24"/>
          <w:szCs w:val="24"/>
        </w:rPr>
        <w:t>4. REQUISITOS DA CONTRATAÇÃO</w:t>
      </w:r>
    </w:p>
    <w:p>
      <w:pPr>
        <w:pStyle w:val="Normal"/>
        <w:spacing w:lineRule="auto" w:line="360"/>
        <w:ind w:left="-426"/>
        <w:jc w:val="both"/>
        <w:rPr>
          <w:color w:val="000000"/>
          <w:sz w:val="24"/>
          <w:szCs w:val="24"/>
        </w:rPr>
      </w:pPr>
      <w:r>
        <w:rPr>
          <w:color w:val="000000"/>
          <w:sz w:val="24"/>
          <w:szCs w:val="24"/>
        </w:rPr>
        <w:t>4.1. Constituem-se enquanto requisitos pertinentes a esta contratação:</w:t>
      </w:r>
    </w:p>
    <w:p>
      <w:pPr>
        <w:pStyle w:val="Normal"/>
        <w:spacing w:lineRule="auto" w:line="360"/>
        <w:ind w:left="-426"/>
        <w:jc w:val="both"/>
        <w:rPr>
          <w:color w:val="000000"/>
          <w:sz w:val="24"/>
          <w:szCs w:val="24"/>
        </w:rPr>
      </w:pPr>
      <w:r>
        <w:rPr>
          <w:color w:val="000000"/>
          <w:sz w:val="24"/>
          <w:szCs w:val="24"/>
        </w:rPr>
        <w:t>4.1.1.A CONTRATADA deverá possuir cadastro respectivos órgãos governamentais reguladores.</w:t>
      </w:r>
    </w:p>
    <w:p>
      <w:pPr>
        <w:pStyle w:val="Normal"/>
        <w:spacing w:lineRule="auto" w:line="360"/>
        <w:ind w:left="-426"/>
        <w:jc w:val="both"/>
        <w:rPr>
          <w:color w:val="000000"/>
          <w:sz w:val="24"/>
          <w:szCs w:val="24"/>
        </w:rPr>
      </w:pPr>
      <w:r>
        <w:rPr>
          <w:color w:val="000000"/>
          <w:sz w:val="24"/>
          <w:szCs w:val="24"/>
        </w:rPr>
        <w:t>4.1.2.A CONTRATADA deverá operar com todas as companhias aéreas e rodoviárias, que atuam regularmente nos mercados regional e nacional, e com as principais companhias aéreas internacionais.</w:t>
      </w:r>
    </w:p>
    <w:p>
      <w:pPr>
        <w:pStyle w:val="Normal"/>
        <w:spacing w:lineRule="auto" w:line="360"/>
        <w:ind w:left="-426"/>
        <w:jc w:val="both"/>
        <w:rPr>
          <w:color w:val="000000"/>
          <w:sz w:val="24"/>
          <w:szCs w:val="24"/>
        </w:rPr>
      </w:pPr>
      <w:r>
        <w:rPr>
          <w:color w:val="000000"/>
          <w:sz w:val="24"/>
          <w:szCs w:val="24"/>
        </w:rPr>
        <w:t>4.1.3.A CONTRADADA deverá disponibilizar atendimento por celular, 24h por dia, 7 (sete) dias por semana para fornecimento de informações e atendimento a solicitações de caráter emergencial.</w:t>
      </w:r>
    </w:p>
    <w:p>
      <w:pPr>
        <w:pStyle w:val="Normal"/>
        <w:spacing w:lineRule="auto" w:line="360"/>
        <w:ind w:left="-426"/>
        <w:jc w:val="both"/>
        <w:rPr>
          <w:color w:val="000000"/>
          <w:sz w:val="24"/>
          <w:szCs w:val="24"/>
        </w:rPr>
      </w:pPr>
      <w:r>
        <w:rPr>
          <w:color w:val="000000"/>
          <w:sz w:val="24"/>
          <w:szCs w:val="24"/>
        </w:rPr>
        <w:t>4.1.4.A CONTRADADA deverá atender, no prazo máximo de 24 (vinte e quatro) horas, todas as solicitações de reservas e emissões que forem aprovadas pela CONTRATANTE.</w:t>
      </w:r>
    </w:p>
    <w:p>
      <w:pPr>
        <w:pStyle w:val="Normal"/>
        <w:spacing w:lineRule="auto" w:line="360"/>
        <w:ind w:left="-426"/>
        <w:jc w:val="both"/>
        <w:rPr>
          <w:color w:val="000000"/>
          <w:sz w:val="24"/>
          <w:szCs w:val="24"/>
        </w:rPr>
      </w:pPr>
      <w:r>
        <w:rPr>
          <w:color w:val="000000"/>
          <w:sz w:val="24"/>
          <w:szCs w:val="24"/>
        </w:rPr>
        <w:t>4.1.5.O preço das passagens aéreas e rodoviárias, a serem cobrados pela contratada, deverão estar de acordo com as tabelas praticadas pelas respectivas companhias, inclusive em casos de tarifas promocionais, nas formas estabelecidas pelos órgãos governamentais reguladores.</w:t>
      </w:r>
    </w:p>
    <w:p>
      <w:pPr>
        <w:pStyle w:val="Normal"/>
        <w:spacing w:lineRule="auto" w:line="360"/>
        <w:ind w:left="-426"/>
        <w:jc w:val="both"/>
        <w:rPr>
          <w:color w:val="000000"/>
          <w:sz w:val="24"/>
          <w:szCs w:val="24"/>
        </w:rPr>
      </w:pPr>
      <w:r>
        <w:rPr>
          <w:color w:val="000000"/>
          <w:sz w:val="24"/>
          <w:szCs w:val="24"/>
        </w:rPr>
        <w:t>4.1.6.A CONTRATADA deverá efetuar a reserva das passagens aéreas e rodoviárias ao menor preço e em classe econômica, sem prejuízo do estabelecido no art. 27 do Decreto n° 71.733/1973 (alterado pelo art. 1º do Decreto nº 3.643/2000) e na Instrução Normativa nº 03, de 11 de fevereiro de 2015 da Secretaria de Logística e Tecnologia da Informação/ Ministério da Economia , considerando-se o horário e o período da participação do passageiro na programação de viagem, a pontualidade, o tempo de traslado e a otimização do trabalho.</w:t>
      </w:r>
    </w:p>
    <w:p>
      <w:pPr>
        <w:pStyle w:val="Normal"/>
        <w:spacing w:lineRule="auto" w:line="360"/>
        <w:ind w:left="-426"/>
        <w:jc w:val="both"/>
        <w:rPr>
          <w:color w:val="000000"/>
          <w:sz w:val="24"/>
          <w:szCs w:val="24"/>
        </w:rPr>
      </w:pPr>
      <w:r>
        <w:rPr>
          <w:color w:val="000000"/>
          <w:sz w:val="24"/>
          <w:szCs w:val="24"/>
        </w:rPr>
        <w:t>4.1.7.A CONTRADADA deverá assegurar à CONTRATANTE o menor preço em vigor praticado por qualquer das companhias do setor sempre que se verificar condição, mesmo em caráter promocional, repassando a esta todos os descontos e vantagens oferecidas que lhe possam resultar em vantagem econômica;</w:t>
      </w:r>
    </w:p>
    <w:p>
      <w:pPr>
        <w:pStyle w:val="Normal"/>
        <w:spacing w:lineRule="auto" w:line="360"/>
        <w:ind w:left="-426"/>
        <w:jc w:val="both"/>
        <w:rPr>
          <w:color w:val="000000"/>
          <w:sz w:val="24"/>
          <w:szCs w:val="24"/>
        </w:rPr>
      </w:pPr>
      <w:r>
        <w:rPr>
          <w:color w:val="000000"/>
          <w:sz w:val="24"/>
          <w:szCs w:val="24"/>
        </w:rPr>
        <w:t>4.1.8.A CONTRATADA deve disponibilizar solução online, mediante login e senha, com acessos pré-estabelecidos, além de ambiente com todas as companhias aéreas e rodoviárias para auxiliar na cotação, reserva e solicitação de compra de passagens, de forma que tal sistema seja ajustado de acordo com as especificidades da CONTRATANTE, em diapasão com os serviços previstos nesse edital.</w:t>
      </w:r>
    </w:p>
    <w:p>
      <w:pPr>
        <w:pStyle w:val="Normal"/>
        <w:spacing w:lineRule="auto" w:line="360"/>
        <w:ind w:left="-426"/>
        <w:jc w:val="both"/>
        <w:rPr>
          <w:color w:val="000000"/>
          <w:sz w:val="24"/>
          <w:szCs w:val="24"/>
        </w:rPr>
      </w:pPr>
      <w:r>
        <w:rPr>
          <w:color w:val="000000"/>
          <w:sz w:val="24"/>
          <w:szCs w:val="24"/>
        </w:rPr>
        <w:t>4.1.9. Cabe também a CONTRATADA oferecer treinamento, material didático e suporte aos servidores responsáveis pelo manuseio do sistema no âmbito da CONTRATANTE.</w:t>
      </w:r>
    </w:p>
    <w:p>
      <w:pPr>
        <w:pStyle w:val="Normal"/>
        <w:spacing w:lineRule="auto" w:line="360"/>
        <w:ind w:left="-426"/>
        <w:jc w:val="both"/>
        <w:rPr>
          <w:color w:val="000000"/>
          <w:sz w:val="24"/>
          <w:szCs w:val="24"/>
        </w:rPr>
      </w:pPr>
      <w:r>
        <w:rPr>
          <w:color w:val="000000"/>
          <w:sz w:val="24"/>
          <w:szCs w:val="24"/>
        </w:rPr>
        <w:t>4.1.10. A CONTRATADA se responsabiliza pela manutenção e suporte à solução online durante todo o contrato.</w:t>
      </w:r>
    </w:p>
    <w:p>
      <w:pPr>
        <w:pStyle w:val="Normal"/>
        <w:spacing w:lineRule="auto" w:line="360"/>
        <w:ind w:left="-426"/>
        <w:jc w:val="both"/>
        <w:rPr>
          <w:color w:val="000000"/>
          <w:sz w:val="24"/>
          <w:szCs w:val="24"/>
        </w:rPr>
      </w:pPr>
      <w:r>
        <w:rPr>
          <w:color w:val="000000"/>
          <w:sz w:val="24"/>
          <w:szCs w:val="24"/>
        </w:rPr>
        <w:t>4.1.11. O sistema deverá gerar relatórios de passagens requisitadas, efetivamente compradas, não utilizadas, remarcações, dentre outras informações previstas neste edital.</w:t>
        <w:br/>
      </w:r>
    </w:p>
    <w:p>
      <w:pPr>
        <w:pStyle w:val="Normal"/>
        <w:shd w:val="clear" w:color="auto" w:fill="D0CECE" w:themeFill="background2" w:themeFillShade="e6"/>
        <w:spacing w:lineRule="auto" w:line="360"/>
        <w:ind w:left="-426"/>
        <w:jc w:val="both"/>
        <w:rPr>
          <w:b/>
          <w:bCs/>
          <w:color w:val="000000"/>
          <w:sz w:val="24"/>
          <w:szCs w:val="24"/>
        </w:rPr>
      </w:pPr>
      <w:r>
        <w:rPr>
          <w:b/>
          <w:bCs/>
          <w:color w:val="000000"/>
          <w:sz w:val="24"/>
          <w:szCs w:val="24"/>
        </w:rPr>
        <w:t>5. ESTIMATIVA DAS QUANTIDADES</w:t>
      </w:r>
    </w:p>
    <w:p>
      <w:pPr>
        <w:pStyle w:val="Normal"/>
        <w:spacing w:lineRule="auto" w:line="360"/>
        <w:ind w:firstLine="284" w:left="-426"/>
        <w:jc w:val="both"/>
        <w:rPr>
          <w:color w:val="000000"/>
          <w:sz w:val="24"/>
          <w:szCs w:val="24"/>
        </w:rPr>
      </w:pPr>
      <w:r>
        <w:rPr>
          <w:color w:val="000000"/>
          <w:sz w:val="24"/>
          <w:szCs w:val="24"/>
        </w:rPr>
        <w:t>5.1 Conforme informado pela equipe de fiscalização, os serviços e quantidades a serem adquiridos são:</w:t>
      </w:r>
    </w:p>
    <w:tbl>
      <w:tblPr>
        <w:tblStyle w:val="Tabelacomgrade"/>
        <w:tblW w:w="9782" w:type="dxa"/>
        <w:jc w:val="left"/>
        <w:tblInd w:w="-318" w:type="dxa"/>
        <w:tblLayout w:type="fixed"/>
        <w:tblCellMar>
          <w:top w:w="0" w:type="dxa"/>
          <w:left w:w="108" w:type="dxa"/>
          <w:bottom w:w="0" w:type="dxa"/>
          <w:right w:w="108" w:type="dxa"/>
        </w:tblCellMar>
        <w:tblLook w:firstRow="1" w:noVBand="1" w:lastRow="0" w:firstColumn="1" w:lastColumn="0" w:noHBand="0" w:val="04a0"/>
      </w:tblPr>
      <w:tblGrid>
        <w:gridCol w:w="667"/>
        <w:gridCol w:w="4414"/>
        <w:gridCol w:w="1175"/>
        <w:gridCol w:w="2115"/>
        <w:gridCol w:w="1411"/>
      </w:tblGrid>
      <w:tr>
        <w:trPr/>
        <w:tc>
          <w:tcPr>
            <w:tcW w:w="667" w:type="dxa"/>
            <w:tcBorders/>
            <w:vAlign w:val="center"/>
          </w:tcPr>
          <w:p>
            <w:pPr>
              <w:pStyle w:val="Normal"/>
              <w:widowControl/>
              <w:suppressAutoHyphens w:val="true"/>
              <w:spacing w:lineRule="auto" w:line="360" w:before="0" w:after="0"/>
              <w:ind w:left="-113"/>
              <w:jc w:val="both"/>
              <w:rPr>
                <w:kern w:val="0"/>
                <w:lang w:val="pt-BR" w:bidi="ar-SA"/>
              </w:rPr>
            </w:pPr>
            <w:r>
              <w:rPr>
                <w:rFonts w:eastAsia="Calibri"/>
                <w:b/>
                <w:bCs/>
                <w:kern w:val="0"/>
                <w:lang w:val="pt-BR" w:bidi="ar-SA"/>
              </w:rPr>
              <w:t>ITEM</w:t>
            </w:r>
          </w:p>
        </w:tc>
        <w:tc>
          <w:tcPr>
            <w:tcW w:w="4414" w:type="dxa"/>
            <w:tcBorders/>
            <w:vAlign w:val="center"/>
          </w:tcPr>
          <w:p>
            <w:pPr>
              <w:pStyle w:val="Normal"/>
              <w:widowControl/>
              <w:suppressAutoHyphens w:val="true"/>
              <w:spacing w:lineRule="auto" w:line="360" w:before="0" w:after="0"/>
              <w:ind w:left="-709"/>
              <w:jc w:val="both"/>
              <w:rPr>
                <w:kern w:val="0"/>
                <w:lang w:val="pt-BR" w:bidi="ar-SA"/>
              </w:rPr>
            </w:pPr>
            <w:r>
              <w:rPr>
                <w:rFonts w:eastAsia="Calibri"/>
                <w:b/>
                <w:bCs/>
                <w:kern w:val="0"/>
                <w:lang w:val="pt-BR" w:bidi="ar-SA"/>
              </w:rPr>
              <w:t>ESPECIFICAÇÕES</w:t>
            </w:r>
          </w:p>
        </w:tc>
        <w:tc>
          <w:tcPr>
            <w:tcW w:w="1175" w:type="dxa"/>
            <w:tcBorders/>
          </w:tcPr>
          <w:p>
            <w:pPr>
              <w:pStyle w:val="Normal"/>
              <w:widowControl/>
              <w:suppressAutoHyphens w:val="true"/>
              <w:spacing w:lineRule="auto" w:line="360" w:before="0" w:after="0"/>
              <w:ind w:left="57"/>
              <w:jc w:val="both"/>
              <w:rPr>
                <w:kern w:val="0"/>
                <w:lang w:val="pt-BR" w:bidi="ar-SA"/>
              </w:rPr>
            </w:pPr>
            <w:r>
              <w:rPr>
                <w:rFonts w:eastAsia="Calibri"/>
                <w:b/>
                <w:bCs/>
                <w:kern w:val="0"/>
                <w:lang w:val="pt-BR" w:bidi="ar-SA"/>
              </w:rPr>
              <w:t>UNID. MEDIDA</w:t>
            </w:r>
          </w:p>
        </w:tc>
        <w:tc>
          <w:tcPr>
            <w:tcW w:w="2115" w:type="dxa"/>
            <w:tcBorders>
              <w:right w:val="nil"/>
            </w:tcBorders>
            <w:vAlign w:val="center"/>
          </w:tcPr>
          <w:p>
            <w:pPr>
              <w:pStyle w:val="Normal"/>
              <w:widowControl/>
              <w:suppressAutoHyphens w:val="true"/>
              <w:spacing w:lineRule="auto" w:line="360" w:before="0" w:after="0"/>
              <w:ind w:left="57"/>
              <w:jc w:val="both"/>
              <w:rPr>
                <w:kern w:val="0"/>
                <w:lang w:val="pt-BR" w:bidi="ar-SA"/>
              </w:rPr>
            </w:pPr>
            <w:r>
              <w:rPr>
                <w:rFonts w:eastAsia="Calibri"/>
                <w:b/>
                <w:bCs/>
                <w:kern w:val="0"/>
                <w:lang w:val="pt-BR" w:bidi="ar-SA"/>
              </w:rPr>
              <w:t>VALOR EST.</w:t>
            </w:r>
          </w:p>
        </w:tc>
        <w:tc>
          <w:tcPr>
            <w:tcW w:w="1411" w:type="dxa"/>
            <w:tcBorders/>
            <w:vAlign w:val="center"/>
          </w:tcPr>
          <w:p>
            <w:pPr>
              <w:pStyle w:val="Normal"/>
              <w:widowControl/>
              <w:suppressAutoHyphens w:val="true"/>
              <w:spacing w:lineRule="auto" w:line="360" w:before="0" w:after="0"/>
              <w:ind w:left="57"/>
              <w:jc w:val="both"/>
              <w:rPr>
                <w:kern w:val="0"/>
                <w:lang w:val="pt-BR" w:bidi="ar-SA"/>
              </w:rPr>
            </w:pPr>
            <w:r>
              <w:rPr>
                <w:rFonts w:eastAsia="Calibri"/>
                <w:b/>
                <w:bCs/>
                <w:kern w:val="0"/>
                <w:lang w:val="pt-BR" w:bidi="ar-SA"/>
              </w:rPr>
              <w:t>TAXA DE DESCONTO</w:t>
            </w:r>
          </w:p>
        </w:tc>
      </w:tr>
      <w:tr>
        <w:trPr>
          <w:trHeight w:val="1265" w:hRule="atLeast"/>
        </w:trPr>
        <w:tc>
          <w:tcPr>
            <w:tcW w:w="667" w:type="dxa"/>
            <w:tcBorders/>
            <w:vAlign w:val="center"/>
          </w:tcPr>
          <w:p>
            <w:pPr>
              <w:pStyle w:val="Normal"/>
              <w:widowControl/>
              <w:suppressAutoHyphens w:val="true"/>
              <w:spacing w:lineRule="auto" w:line="360" w:before="0" w:after="0"/>
              <w:ind w:left="-113"/>
              <w:jc w:val="both"/>
              <w:rPr>
                <w:bCs/>
                <w:sz w:val="24"/>
                <w:szCs w:val="24"/>
                <w:highlight w:val="yellow"/>
              </w:rPr>
            </w:pPr>
            <w:r>
              <w:rPr>
                <w:bCs/>
                <w:sz w:val="24"/>
                <w:szCs w:val="24"/>
                <w:highlight w:val="yellow"/>
              </w:rPr>
            </w:r>
          </w:p>
          <w:p>
            <w:pPr>
              <w:pStyle w:val="Normal"/>
              <w:widowControl/>
              <w:suppressAutoHyphens w:val="true"/>
              <w:spacing w:lineRule="auto" w:line="360" w:before="0" w:after="0"/>
              <w:ind w:left="-113"/>
              <w:jc w:val="both"/>
              <w:rPr>
                <w:bCs/>
                <w:sz w:val="24"/>
                <w:szCs w:val="24"/>
                <w:highlight w:val="yellow"/>
              </w:rPr>
            </w:pPr>
            <w:r>
              <w:rPr>
                <w:rFonts w:eastAsia="Calibri"/>
                <w:bCs/>
                <w:kern w:val="0"/>
                <w:sz w:val="24"/>
                <w:szCs w:val="24"/>
                <w:lang w:val="pt-BR" w:bidi="ar-SA"/>
              </w:rPr>
              <w:t>01</w:t>
            </w:r>
          </w:p>
        </w:tc>
        <w:tc>
          <w:tcPr>
            <w:tcW w:w="4414" w:type="dxa"/>
            <w:tcBorders/>
          </w:tcPr>
          <w:p>
            <w:pPr>
              <w:pStyle w:val="Normal"/>
              <w:widowControl/>
              <w:suppressAutoHyphens w:val="true"/>
              <w:spacing w:before="0" w:after="46"/>
              <w:jc w:val="both"/>
              <w:rPr>
                <w:kern w:val="0"/>
                <w:lang w:val="pt-BR" w:bidi="ar-SA"/>
              </w:rPr>
            </w:pPr>
            <w:r>
              <w:rPr>
                <w:color w:val="000000"/>
                <w:kern w:val="0"/>
                <w:sz w:val="24"/>
                <w:szCs w:val="24"/>
                <w:lang w:val="pt-BR" w:bidi="ar-SA"/>
              </w:rPr>
              <w:t xml:space="preserve">Os serviços de emissão de </w:t>
            </w:r>
            <w:r>
              <w:rPr>
                <w:color w:val="000000"/>
                <w:kern w:val="0"/>
                <w:sz w:val="24"/>
                <w:lang w:val="pt-BR" w:bidi="ar-SA"/>
              </w:rPr>
              <w:t>passagens aéreas devem incluir:</w:t>
            </w:r>
          </w:p>
          <w:p>
            <w:pPr>
              <w:pStyle w:val="Normal"/>
              <w:widowControl/>
              <w:suppressAutoHyphens w:val="true"/>
              <w:spacing w:before="0" w:after="46"/>
              <w:jc w:val="both"/>
              <w:rPr>
                <w:kern w:val="0"/>
                <w:lang w:val="pt-BR" w:bidi="ar-SA"/>
              </w:rPr>
            </w:pPr>
            <w:r>
              <w:rPr>
                <w:color w:val="000000"/>
                <w:kern w:val="0"/>
                <w:sz w:val="24"/>
                <w:lang w:val="pt-BR" w:bidi="ar-SA"/>
              </w:rPr>
              <w:t>* Passagem aérea (ida e volta);</w:t>
            </w:r>
          </w:p>
          <w:p>
            <w:pPr>
              <w:pStyle w:val="Normal"/>
              <w:widowControl/>
              <w:suppressAutoHyphens w:val="true"/>
              <w:spacing w:before="0" w:after="46"/>
              <w:jc w:val="both"/>
              <w:rPr>
                <w:kern w:val="0"/>
                <w:lang w:val="pt-BR" w:bidi="ar-SA"/>
              </w:rPr>
            </w:pPr>
            <w:r>
              <w:rPr>
                <w:color w:val="000000"/>
                <w:kern w:val="0"/>
                <w:sz w:val="24"/>
                <w:lang w:val="pt-BR" w:bidi="ar-SA"/>
              </w:rPr>
              <w:t xml:space="preserve">* </w:t>
            </w:r>
            <w:r>
              <w:rPr>
                <w:color w:val="000009"/>
                <w:kern w:val="0"/>
                <w:sz w:val="24"/>
                <w:lang w:val="pt-BR" w:bidi="ar-SA"/>
              </w:rPr>
              <w:t>Reemissão de bilhete de passagem aérea não utilizado (não voado), quando necessário;</w:t>
            </w:r>
          </w:p>
          <w:p>
            <w:pPr>
              <w:pStyle w:val="Normal"/>
              <w:widowControl/>
              <w:suppressAutoHyphens w:val="true"/>
              <w:spacing w:before="0" w:after="0"/>
              <w:jc w:val="both"/>
              <w:rPr>
                <w:kern w:val="0"/>
                <w:lang w:val="pt-BR" w:bidi="ar-SA"/>
              </w:rPr>
            </w:pPr>
            <w:r>
              <w:rPr>
                <w:color w:val="000009"/>
                <w:kern w:val="0"/>
                <w:sz w:val="24"/>
                <w:lang w:val="pt-BR" w:bidi="ar-SA"/>
              </w:rPr>
              <w:t>*Alteração de horário ou data do bilhete de passagem aérea emitido, quando necessário;</w:t>
            </w:r>
          </w:p>
          <w:p>
            <w:pPr>
              <w:pStyle w:val="Normal"/>
              <w:widowControl/>
              <w:suppressAutoHyphens w:val="true"/>
              <w:spacing w:before="0" w:after="0"/>
              <w:jc w:val="both"/>
              <w:rPr>
                <w:kern w:val="0"/>
                <w:lang w:val="pt-BR" w:bidi="ar-SA"/>
              </w:rPr>
            </w:pPr>
            <w:r>
              <w:rPr>
                <w:color w:val="000009"/>
                <w:kern w:val="0"/>
                <w:sz w:val="24"/>
                <w:lang w:val="pt-BR" w:bidi="ar-SA"/>
              </w:rPr>
              <w:t>* Cancelamento de bilhete de passagem aérea, por Ordem;</w:t>
            </w:r>
          </w:p>
          <w:p>
            <w:pPr>
              <w:pStyle w:val="Normal"/>
              <w:widowControl/>
              <w:suppressAutoHyphens w:val="true"/>
              <w:spacing w:before="0" w:after="0"/>
              <w:jc w:val="both"/>
              <w:rPr>
                <w:kern w:val="0"/>
                <w:lang w:val="pt-BR" w:bidi="ar-SA"/>
              </w:rPr>
            </w:pPr>
            <w:r>
              <w:rPr>
                <w:color w:val="000009"/>
                <w:kern w:val="0"/>
                <w:sz w:val="24"/>
                <w:lang w:val="pt-BR" w:bidi="ar-SA"/>
              </w:rPr>
              <w:t>* O serviço de agenciamento para passagens aéreas será pago para a agência contratada com base no valor total da passagem aérea subtraído do percentual fixo ofertado pelo contratado sobre o valor de uma passagem aérea ida e volta.</w:t>
            </w:r>
          </w:p>
        </w:tc>
        <w:tc>
          <w:tcPr>
            <w:tcW w:w="1175" w:type="dxa"/>
            <w:tcBorders/>
            <w:vAlign w:val="center"/>
          </w:tcPr>
          <w:p>
            <w:pPr>
              <w:pStyle w:val="Normal"/>
              <w:widowControl/>
              <w:suppressAutoHyphens w:val="true"/>
              <w:spacing w:lineRule="auto" w:line="360" w:before="0" w:after="0"/>
              <w:jc w:val="both"/>
              <w:rPr>
                <w:sz w:val="24"/>
                <w:szCs w:val="24"/>
              </w:rPr>
            </w:pPr>
            <w:r>
              <w:rPr>
                <w:sz w:val="24"/>
                <w:szCs w:val="24"/>
              </w:rPr>
            </w:r>
          </w:p>
          <w:p>
            <w:pPr>
              <w:pStyle w:val="Normal"/>
              <w:widowControl/>
              <w:suppressAutoHyphens w:val="true"/>
              <w:spacing w:lineRule="auto" w:line="360" w:before="0" w:after="0"/>
              <w:jc w:val="both"/>
              <w:rPr>
                <w:sz w:val="24"/>
                <w:szCs w:val="24"/>
              </w:rPr>
            </w:pPr>
            <w:r>
              <w:rPr>
                <w:rFonts w:eastAsia="Calibri"/>
                <w:kern w:val="0"/>
                <w:sz w:val="24"/>
                <w:szCs w:val="24"/>
                <w:lang w:val="pt-BR" w:bidi="ar-SA"/>
              </w:rPr>
              <w:t>Serv</w:t>
            </w:r>
          </w:p>
        </w:tc>
        <w:tc>
          <w:tcPr>
            <w:tcW w:w="2115" w:type="dxa"/>
            <w:tcBorders>
              <w:right w:val="nil"/>
            </w:tcBorders>
            <w:vAlign w:val="center"/>
          </w:tcPr>
          <w:p>
            <w:pPr>
              <w:pStyle w:val="Normal"/>
              <w:widowControl/>
              <w:suppressAutoHyphens w:val="true"/>
              <w:spacing w:lineRule="auto" w:line="360" w:before="0" w:after="0"/>
              <w:ind w:left="113"/>
              <w:jc w:val="both"/>
              <w:rPr>
                <w:sz w:val="24"/>
                <w:szCs w:val="24"/>
              </w:rPr>
            </w:pPr>
            <w:r>
              <w:rPr>
                <w:sz w:val="24"/>
                <w:szCs w:val="24"/>
              </w:rPr>
            </w:r>
          </w:p>
          <w:p>
            <w:pPr>
              <w:pStyle w:val="Normal"/>
              <w:widowControl/>
              <w:suppressAutoHyphens w:val="true"/>
              <w:spacing w:lineRule="auto" w:line="360" w:before="0" w:after="0"/>
              <w:ind w:left="113"/>
              <w:jc w:val="both"/>
              <w:rPr>
                <w:sz w:val="24"/>
                <w:szCs w:val="24"/>
              </w:rPr>
            </w:pPr>
            <w:r>
              <w:rPr>
                <w:rFonts w:eastAsia="Calibri"/>
                <w:kern w:val="0"/>
                <w:sz w:val="24"/>
                <w:szCs w:val="24"/>
                <w:lang w:val="pt-BR" w:bidi="ar-SA"/>
              </w:rPr>
              <w:t>R$ 228.000,00</w:t>
            </w:r>
          </w:p>
        </w:tc>
        <w:tc>
          <w:tcPr>
            <w:tcW w:w="1411" w:type="dxa"/>
            <w:tcBorders/>
            <w:vAlign w:val="center"/>
          </w:tcPr>
          <w:p>
            <w:pPr>
              <w:pStyle w:val="Normal"/>
              <w:widowControl/>
              <w:suppressAutoHyphens w:val="true"/>
              <w:spacing w:lineRule="auto" w:line="360" w:before="0" w:after="0"/>
              <w:ind w:left="113"/>
              <w:jc w:val="both"/>
              <w:rPr>
                <w:sz w:val="24"/>
                <w:szCs w:val="24"/>
              </w:rPr>
            </w:pPr>
            <w:r>
              <w:rPr>
                <w:sz w:val="24"/>
                <w:szCs w:val="24"/>
              </w:rPr>
            </w:r>
          </w:p>
        </w:tc>
      </w:tr>
      <w:tr>
        <w:trPr>
          <w:trHeight w:val="1265" w:hRule="atLeast"/>
        </w:trPr>
        <w:tc>
          <w:tcPr>
            <w:tcW w:w="667" w:type="dxa"/>
            <w:tcBorders/>
            <w:vAlign w:val="center"/>
          </w:tcPr>
          <w:p>
            <w:pPr>
              <w:pStyle w:val="Normal"/>
              <w:widowControl/>
              <w:suppressAutoHyphens w:val="true"/>
              <w:spacing w:lineRule="auto" w:line="360" w:before="0" w:after="0"/>
              <w:ind w:left="-113"/>
              <w:jc w:val="both"/>
              <w:rPr>
                <w:bCs/>
                <w:sz w:val="24"/>
                <w:szCs w:val="24"/>
                <w:highlight w:val="yellow"/>
              </w:rPr>
            </w:pPr>
            <w:r>
              <w:rPr>
                <w:bCs/>
                <w:kern w:val="0"/>
                <w:sz w:val="24"/>
                <w:szCs w:val="24"/>
                <w:lang w:val="pt-BR" w:bidi="ar-SA"/>
              </w:rPr>
              <w:t>02</w:t>
            </w:r>
          </w:p>
        </w:tc>
        <w:tc>
          <w:tcPr>
            <w:tcW w:w="4414" w:type="dxa"/>
            <w:tcBorders/>
          </w:tcPr>
          <w:p>
            <w:pPr>
              <w:pStyle w:val="Normal"/>
              <w:widowControl/>
              <w:suppressAutoHyphens w:val="true"/>
              <w:spacing w:before="0" w:after="46"/>
              <w:jc w:val="both"/>
              <w:rPr>
                <w:kern w:val="0"/>
                <w:lang w:val="pt-BR" w:bidi="ar-SA"/>
              </w:rPr>
            </w:pPr>
            <w:r>
              <w:rPr>
                <w:color w:val="000000"/>
                <w:kern w:val="0"/>
                <w:sz w:val="24"/>
                <w:szCs w:val="24"/>
                <w:lang w:val="pt-BR" w:bidi="ar-SA"/>
              </w:rPr>
              <w:t xml:space="preserve">Os serviços de emissão de </w:t>
            </w:r>
            <w:r>
              <w:rPr>
                <w:color w:val="000000"/>
                <w:kern w:val="0"/>
                <w:sz w:val="24"/>
                <w:lang w:val="pt-BR" w:bidi="ar-SA"/>
              </w:rPr>
              <w:t>passagens rodoviárias devem incluir:</w:t>
            </w:r>
          </w:p>
          <w:p>
            <w:pPr>
              <w:pStyle w:val="Normal"/>
              <w:widowControl/>
              <w:suppressAutoHyphens w:val="true"/>
              <w:spacing w:before="0" w:after="46"/>
              <w:jc w:val="both"/>
              <w:rPr>
                <w:kern w:val="0"/>
                <w:lang w:val="pt-BR" w:bidi="ar-SA"/>
              </w:rPr>
            </w:pPr>
            <w:r>
              <w:rPr>
                <w:color w:val="000000"/>
                <w:kern w:val="0"/>
                <w:sz w:val="24"/>
                <w:lang w:val="pt-BR" w:bidi="ar-SA"/>
              </w:rPr>
              <w:t>* Passagem rodoviária (ida e volta);</w:t>
            </w:r>
          </w:p>
          <w:p>
            <w:pPr>
              <w:pStyle w:val="Normal"/>
              <w:widowControl/>
              <w:suppressAutoHyphens w:val="true"/>
              <w:spacing w:before="0" w:after="46"/>
              <w:jc w:val="both"/>
              <w:rPr>
                <w:kern w:val="0"/>
                <w:lang w:val="pt-BR" w:bidi="ar-SA"/>
              </w:rPr>
            </w:pPr>
            <w:r>
              <w:rPr>
                <w:color w:val="000000"/>
                <w:kern w:val="0"/>
                <w:sz w:val="24"/>
                <w:lang w:val="pt-BR" w:bidi="ar-SA"/>
              </w:rPr>
              <w:t xml:space="preserve">* </w:t>
            </w:r>
            <w:r>
              <w:rPr>
                <w:color w:val="000009"/>
                <w:kern w:val="0"/>
                <w:sz w:val="24"/>
                <w:lang w:val="pt-BR" w:bidi="ar-SA"/>
              </w:rPr>
              <w:t>Reemissão de bilhete de passagem não utilizado (não embarcado), quando necessário;</w:t>
            </w:r>
          </w:p>
          <w:p>
            <w:pPr>
              <w:pStyle w:val="Normal"/>
              <w:widowControl/>
              <w:suppressAutoHyphens w:val="true"/>
              <w:spacing w:before="0" w:after="0"/>
              <w:jc w:val="both"/>
              <w:rPr>
                <w:kern w:val="0"/>
                <w:lang w:val="pt-BR" w:bidi="ar-SA"/>
              </w:rPr>
            </w:pPr>
            <w:r>
              <w:rPr>
                <w:color w:val="000009"/>
                <w:kern w:val="0"/>
                <w:sz w:val="24"/>
                <w:lang w:val="pt-BR" w:bidi="ar-SA"/>
              </w:rPr>
              <w:t>*Alteração de horário ou data do bilhete de passagem emitido, quando necessário;</w:t>
            </w:r>
          </w:p>
          <w:p>
            <w:pPr>
              <w:pStyle w:val="Normal"/>
              <w:widowControl/>
              <w:suppressAutoHyphens w:val="true"/>
              <w:spacing w:before="0" w:after="0"/>
              <w:jc w:val="both"/>
              <w:rPr>
                <w:kern w:val="0"/>
                <w:lang w:val="pt-BR" w:bidi="ar-SA"/>
              </w:rPr>
            </w:pPr>
            <w:r>
              <w:rPr>
                <w:color w:val="000009"/>
                <w:kern w:val="0"/>
                <w:sz w:val="24"/>
                <w:lang w:val="pt-BR" w:bidi="ar-SA"/>
              </w:rPr>
              <w:t>* Cancelamento de bilhete de passagem rodoviária, por Ordem;</w:t>
            </w:r>
          </w:p>
          <w:p>
            <w:pPr>
              <w:pStyle w:val="Normal"/>
              <w:widowControl/>
              <w:suppressAutoHyphens w:val="true"/>
              <w:spacing w:before="0" w:after="46"/>
              <w:jc w:val="both"/>
              <w:rPr>
                <w:color w:val="000000"/>
                <w:sz w:val="24"/>
                <w:szCs w:val="24"/>
              </w:rPr>
            </w:pPr>
            <w:r>
              <w:rPr>
                <w:color w:val="000009"/>
                <w:kern w:val="0"/>
                <w:sz w:val="24"/>
                <w:lang w:val="pt-BR" w:bidi="ar-SA"/>
              </w:rPr>
              <w:t>* O serviço de agenciamento para passagens rodoviárias será pago para a agência contratada com base no valor total da passagem subtraído do percentual fixo ofertado pelo contratado sobre o valor de uma passagem rodoviária ida e volta.</w:t>
            </w:r>
          </w:p>
        </w:tc>
        <w:tc>
          <w:tcPr>
            <w:tcW w:w="1175" w:type="dxa"/>
            <w:tcBorders/>
            <w:vAlign w:val="center"/>
          </w:tcPr>
          <w:p>
            <w:pPr>
              <w:pStyle w:val="Normal"/>
              <w:widowControl/>
              <w:suppressAutoHyphens w:val="true"/>
              <w:spacing w:lineRule="auto" w:line="360" w:before="0" w:after="0"/>
              <w:jc w:val="both"/>
              <w:rPr>
                <w:sz w:val="24"/>
                <w:szCs w:val="24"/>
              </w:rPr>
            </w:pPr>
            <w:r>
              <w:rPr>
                <w:kern w:val="0"/>
                <w:sz w:val="24"/>
                <w:szCs w:val="24"/>
                <w:lang w:val="pt-BR" w:bidi="ar-SA"/>
              </w:rPr>
              <w:t>Serv</w:t>
            </w:r>
          </w:p>
        </w:tc>
        <w:tc>
          <w:tcPr>
            <w:tcW w:w="2115" w:type="dxa"/>
            <w:tcBorders>
              <w:right w:val="nil"/>
            </w:tcBorders>
            <w:vAlign w:val="center"/>
          </w:tcPr>
          <w:p>
            <w:pPr>
              <w:pStyle w:val="Normal"/>
              <w:widowControl/>
              <w:suppressAutoHyphens w:val="true"/>
              <w:spacing w:lineRule="auto" w:line="360" w:before="0" w:after="0"/>
              <w:ind w:left="113"/>
              <w:jc w:val="both"/>
              <w:rPr>
                <w:sz w:val="24"/>
                <w:szCs w:val="24"/>
              </w:rPr>
            </w:pPr>
            <w:r>
              <w:rPr>
                <w:kern w:val="0"/>
                <w:sz w:val="24"/>
                <w:szCs w:val="24"/>
                <w:lang w:val="pt-BR" w:bidi="ar-SA"/>
              </w:rPr>
              <w:t>R$ 50.000,00</w:t>
            </w:r>
          </w:p>
        </w:tc>
        <w:tc>
          <w:tcPr>
            <w:tcW w:w="1411" w:type="dxa"/>
            <w:tcBorders/>
            <w:vAlign w:val="center"/>
          </w:tcPr>
          <w:p>
            <w:pPr>
              <w:pStyle w:val="Normal"/>
              <w:widowControl/>
              <w:suppressAutoHyphens w:val="true"/>
              <w:spacing w:lineRule="auto" w:line="360" w:before="0" w:after="0"/>
              <w:ind w:left="113"/>
              <w:jc w:val="both"/>
              <w:rPr>
                <w:sz w:val="24"/>
                <w:szCs w:val="24"/>
              </w:rPr>
            </w:pPr>
            <w:r>
              <w:rPr>
                <w:sz w:val="24"/>
                <w:szCs w:val="24"/>
              </w:rPr>
            </w:r>
          </w:p>
        </w:tc>
      </w:tr>
    </w:tbl>
    <w:p>
      <w:pPr>
        <w:pStyle w:val="Normal"/>
        <w:spacing w:lineRule="auto" w:line="360"/>
        <w:ind w:left="-426"/>
        <w:jc w:val="both"/>
        <w:rPr>
          <w:bCs/>
          <w:sz w:val="16"/>
          <w:szCs w:val="16"/>
        </w:rPr>
      </w:pPr>
      <w:r>
        <w:rPr>
          <w:bCs/>
          <w:sz w:val="16"/>
          <w:szCs w:val="16"/>
        </w:rPr>
        <w:t>Tabela 1: Estimativa de quantidades de passagens para 12 meses.</w:t>
      </w:r>
    </w:p>
    <w:p>
      <w:pPr>
        <w:pStyle w:val="Normal"/>
        <w:spacing w:lineRule="auto" w:line="360"/>
        <w:ind w:left="-426"/>
        <w:jc w:val="both"/>
        <w:rPr>
          <w:bCs/>
          <w:sz w:val="16"/>
          <w:szCs w:val="16"/>
        </w:rPr>
      </w:pPr>
      <w:r>
        <w:rPr>
          <w:bCs/>
          <w:sz w:val="16"/>
          <w:szCs w:val="16"/>
        </w:rPr>
      </w:r>
    </w:p>
    <w:p>
      <w:pPr>
        <w:pStyle w:val="Normal"/>
        <w:spacing w:lineRule="auto" w:line="360"/>
        <w:ind w:left="-426"/>
        <w:jc w:val="both"/>
        <w:rPr>
          <w:sz w:val="21"/>
          <w:szCs w:val="21"/>
        </w:rPr>
      </w:pPr>
      <w:r>
        <w:rPr>
          <w:color w:val="000000"/>
          <w:sz w:val="24"/>
          <w:szCs w:val="24"/>
        </w:rPr>
        <w:t>5.2 A estimativa de valor é baseado em no valor do contrato e do termo aditivo do contrato anterior, para que seja utilizado o saldo até o nosso processo licitatório ficar pronto.</w:t>
      </w:r>
      <w:r>
        <w:rPr>
          <w:color w:val="000000"/>
          <w:sz w:val="21"/>
          <w:szCs w:val="21"/>
        </w:rPr>
        <w:t xml:space="preserve"> </w:t>
      </w:r>
    </w:p>
    <w:p>
      <w:pPr>
        <w:pStyle w:val="Normal"/>
        <w:shd w:val="clear" w:color="auto" w:fill="D0CECE" w:themeFill="background2" w:themeFillShade="e6"/>
        <w:spacing w:lineRule="auto" w:line="360"/>
        <w:ind w:left="-426"/>
        <w:jc w:val="both"/>
        <w:rPr>
          <w:b/>
          <w:sz w:val="24"/>
          <w:szCs w:val="24"/>
        </w:rPr>
      </w:pPr>
      <w:r>
        <w:rPr>
          <w:b/>
          <w:sz w:val="24"/>
          <w:szCs w:val="24"/>
        </w:rPr>
        <w:t>6. LEVANTAMENTO DE MERCADO</w:t>
      </w:r>
    </w:p>
    <w:p>
      <w:pPr>
        <w:pStyle w:val="Default"/>
        <w:tabs>
          <w:tab w:val="clear" w:pos="708"/>
          <w:tab w:val="left" w:pos="8625" w:leader="none"/>
        </w:tabs>
        <w:spacing w:lineRule="auto" w:line="360"/>
        <w:ind w:left="-567"/>
        <w:jc w:val="both"/>
        <w:rPr>
          <w:rFonts w:eastAsia="Times New Roman"/>
          <w:lang w:eastAsia="pt-BR"/>
        </w:rPr>
      </w:pPr>
      <w:r>
        <w:rPr>
          <w:rFonts w:eastAsia="Times New Roman"/>
          <w:lang w:eastAsia="pt-BR"/>
        </w:rPr>
        <w:t xml:space="preserve">   </w:t>
      </w:r>
      <w:r>
        <w:rPr>
          <w:rFonts w:eastAsia="Times New Roman"/>
          <w:lang w:eastAsia="pt-BR"/>
        </w:rPr>
        <w:t>6.1. Em atenção à Instrução Normativa nº 73, de 5 de agosto de 2020, foi realizada pesquisa no Painel de Preços.</w:t>
      </w:r>
    </w:p>
    <w:p>
      <w:pPr>
        <w:pStyle w:val="Default"/>
        <w:tabs>
          <w:tab w:val="clear" w:pos="708"/>
          <w:tab w:val="left" w:pos="8625" w:leader="none"/>
        </w:tabs>
        <w:spacing w:lineRule="auto" w:line="360"/>
        <w:ind w:left="-567"/>
        <w:jc w:val="both"/>
        <w:rPr>
          <w:rFonts w:eastAsia="Times New Roman"/>
          <w:lang w:eastAsia="pt-BR"/>
        </w:rPr>
      </w:pPr>
      <w:r>
        <w:rPr>
          <w:rFonts w:eastAsia="Times New Roman"/>
          <w:lang w:eastAsia="pt-BR"/>
        </w:rPr>
        <w:t>6.2. Diante desse montante e em atenção ao art. 40. Da Lei 14.133/2021, foram encontrados 34 (trinta e quatro) pregões eletrônicos, no qual demonstra que a solução a contratar está sendo utilizadas por outros órgãos. Não existindo inovações que melhor atendam as necessidades deste Conselho, considerando o valor previsto para a contratação.</w:t>
      </w:r>
    </w:p>
    <w:p>
      <w:pPr>
        <w:pStyle w:val="Default"/>
        <w:tabs>
          <w:tab w:val="clear" w:pos="708"/>
          <w:tab w:val="left" w:pos="8625" w:leader="none"/>
        </w:tabs>
        <w:spacing w:lineRule="auto" w:line="360"/>
        <w:ind w:left="-567"/>
        <w:jc w:val="both"/>
        <w:rPr>
          <w:rFonts w:eastAsia="Times New Roman"/>
          <w:lang w:eastAsia="pt-BR"/>
        </w:rPr>
      </w:pPr>
      <w:r>
        <w:rPr/>
        <w:drawing>
          <wp:inline distT="0" distB="0" distL="0" distR="0">
            <wp:extent cx="6200775" cy="2587625"/>
            <wp:effectExtent l="0" t="0" r="0" b="0"/>
            <wp:docPr id="7"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1" descr=""/>
                    <pic:cNvPicPr>
                      <a:picLocks noChangeAspect="1" noChangeArrowheads="1"/>
                    </pic:cNvPicPr>
                  </pic:nvPicPr>
                  <pic:blipFill>
                    <a:blip r:embed="rId24"/>
                    <a:stretch>
                      <a:fillRect/>
                    </a:stretch>
                  </pic:blipFill>
                  <pic:spPr bwMode="auto">
                    <a:xfrm>
                      <a:off x="0" y="0"/>
                      <a:ext cx="6200775" cy="2587625"/>
                    </a:xfrm>
                    <a:prstGeom prst="rect">
                      <a:avLst/>
                    </a:prstGeom>
                  </pic:spPr>
                </pic:pic>
              </a:graphicData>
            </a:graphic>
          </wp:inline>
        </w:drawing>
      </w:r>
    </w:p>
    <w:p>
      <w:pPr>
        <w:pStyle w:val="Default"/>
        <w:tabs>
          <w:tab w:val="clear" w:pos="708"/>
          <w:tab w:val="left" w:pos="8625" w:leader="none"/>
        </w:tabs>
        <w:spacing w:lineRule="auto" w:line="360"/>
        <w:ind w:left="-567"/>
        <w:jc w:val="both"/>
        <w:rPr/>
      </w:pPr>
      <w:r>
        <w:rPr/>
      </w:r>
    </w:p>
    <w:p>
      <w:pPr>
        <w:pStyle w:val="Normal"/>
        <w:shd w:val="clear" w:color="auto" w:fill="D0CECE" w:themeFill="background2" w:themeFillShade="e6"/>
        <w:spacing w:lineRule="auto" w:line="360"/>
        <w:ind w:left="-426"/>
        <w:jc w:val="both"/>
        <w:rPr>
          <w:b/>
          <w:bCs/>
          <w:color w:val="000000"/>
          <w:sz w:val="24"/>
          <w:szCs w:val="24"/>
        </w:rPr>
      </w:pPr>
      <w:r>
        <w:rPr>
          <w:b/>
          <w:bCs/>
          <w:color w:val="000000"/>
          <w:sz w:val="24"/>
          <w:szCs w:val="24"/>
        </w:rPr>
        <w:t>7. ESTIMATIVA DO PREÇO DA CONTRATAÇÃO</w:t>
      </w:r>
    </w:p>
    <w:p>
      <w:pPr>
        <w:pStyle w:val="Normal"/>
        <w:spacing w:lineRule="auto" w:line="360"/>
        <w:ind w:left="-426"/>
        <w:jc w:val="both"/>
        <w:rPr>
          <w:color w:val="000000"/>
          <w:sz w:val="24"/>
          <w:szCs w:val="24"/>
        </w:rPr>
      </w:pPr>
      <w:r>
        <w:rPr>
          <w:color w:val="000000"/>
          <w:sz w:val="24"/>
          <w:szCs w:val="24"/>
        </w:rPr>
        <w:t>7.1 A Instrução Normativa nº 73/2020, que dispõe sobre procedimentos administrativos básicos para a realização de pesquisa de preços para aquisição de bens e contratação de serviços em geral, apresenta como diretrizes:</w:t>
      </w:r>
    </w:p>
    <w:p>
      <w:pPr>
        <w:pStyle w:val="Normal"/>
        <w:spacing w:lineRule="auto" w:line="360"/>
        <w:ind w:left="708"/>
        <w:jc w:val="both"/>
        <w:rPr>
          <w:i/>
          <w:i/>
          <w:iCs/>
          <w:color w:val="000000"/>
        </w:rPr>
      </w:pPr>
      <w:r>
        <w:rPr>
          <w:i/>
          <w:iCs/>
          <w:color w:val="000000"/>
        </w:rPr>
        <w:t>“</w:t>
      </w:r>
      <w:r>
        <w:rPr>
          <w:i/>
          <w:iCs/>
          <w:color w:val="000000"/>
        </w:rPr>
        <w:t>Art. 5º A pesquisa de preços para fins de determinação do preço estimado em processo licitatório para a aquisição e contratação de serviços em geral será realizada mediante a utilização dos seguintes parâmetros, empregados de forma combinada ou não:</w:t>
      </w:r>
    </w:p>
    <w:p>
      <w:pPr>
        <w:pStyle w:val="Normal"/>
        <w:spacing w:lineRule="auto" w:line="360"/>
        <w:ind w:left="708"/>
        <w:jc w:val="both"/>
        <w:rPr>
          <w:i/>
          <w:i/>
          <w:iCs/>
          <w:color w:val="000000"/>
        </w:rPr>
      </w:pPr>
      <w:r>
        <w:rPr>
          <w:i/>
          <w:iCs/>
          <w:color w:val="000000"/>
        </w:rPr>
        <w:t>I - Painel de Preços, disponível no endereço eletrônico gov.br/paineldeprecos, desde que as cotações</w:t>
      </w:r>
    </w:p>
    <w:p>
      <w:pPr>
        <w:pStyle w:val="Normal"/>
        <w:spacing w:lineRule="auto" w:line="360"/>
        <w:ind w:left="708"/>
        <w:jc w:val="both"/>
        <w:rPr>
          <w:i/>
          <w:i/>
          <w:iCs/>
          <w:color w:val="000000"/>
        </w:rPr>
      </w:pPr>
      <w:r>
        <w:rPr>
          <w:i/>
          <w:iCs/>
          <w:color w:val="000000"/>
        </w:rPr>
        <w:t>refiram-se a aquisições ou contratações firmadas no período de até 1 (um) ano anterior à data de divulgação do instrumento convocatório;</w:t>
      </w:r>
    </w:p>
    <w:p>
      <w:pPr>
        <w:pStyle w:val="Normal"/>
        <w:spacing w:lineRule="auto" w:line="360"/>
        <w:ind w:left="708"/>
        <w:jc w:val="both"/>
        <w:rPr>
          <w:i/>
          <w:i/>
          <w:iCs/>
          <w:color w:val="000000"/>
        </w:rPr>
      </w:pPr>
      <w:r>
        <w:rPr>
          <w:i/>
          <w:iCs/>
          <w:color w:val="000000"/>
        </w:rPr>
        <w:t>II - aquisições e contratações similares de outros entes públicos, firmadas no período de até 1 (um) ano</w:t>
      </w:r>
    </w:p>
    <w:p>
      <w:pPr>
        <w:pStyle w:val="Normal"/>
        <w:spacing w:lineRule="auto" w:line="360"/>
        <w:ind w:left="708"/>
        <w:jc w:val="both"/>
        <w:rPr>
          <w:i/>
          <w:i/>
          <w:iCs/>
          <w:color w:val="000000"/>
        </w:rPr>
      </w:pPr>
      <w:r>
        <w:rPr>
          <w:i/>
          <w:iCs/>
          <w:color w:val="000000"/>
        </w:rPr>
        <w:t>anterior à data de divulgação do instrumento convocatório;</w:t>
      </w:r>
    </w:p>
    <w:p>
      <w:pPr>
        <w:pStyle w:val="Normal"/>
        <w:spacing w:lineRule="auto" w:line="360"/>
        <w:ind w:left="708"/>
        <w:jc w:val="both"/>
        <w:rPr>
          <w:i/>
          <w:i/>
          <w:iCs/>
          <w:color w:val="000000"/>
        </w:rPr>
      </w:pPr>
      <w:r>
        <w:rPr>
          <w:i/>
          <w:iCs/>
          <w:color w:val="000000"/>
        </w:rPr>
        <w:t>III - dados de pesquisa publicada em mídia especializada, de sítios eletrônicos especializados ou de domínio amplo, desde que atualizados no momento da pesquisa e compreendidos no intervalo de até 6 (seis) meses de antecedência da data de divulgação do instrumento convocatório, contendo a data e hora de acesso; ou</w:t>
      </w:r>
    </w:p>
    <w:p>
      <w:pPr>
        <w:pStyle w:val="Normal"/>
        <w:spacing w:lineRule="auto" w:line="360"/>
        <w:ind w:left="708"/>
        <w:jc w:val="both"/>
        <w:rPr>
          <w:i/>
          <w:i/>
          <w:iCs/>
          <w:color w:val="000000"/>
        </w:rPr>
      </w:pPr>
      <w:r>
        <w:rPr>
          <w:i/>
          <w:iCs/>
          <w:color w:val="000000"/>
        </w:rPr>
        <w:t>IV - pesquisa direta com fornecedores, mediante solicitação formal de cotação, desde que os orçamentos considerados estejam compreendidos no intervalo de até 6 (seis) meses de antecedência da data de divulgação do instrumento convocatório.</w:t>
      </w:r>
    </w:p>
    <w:p>
      <w:pPr>
        <w:pStyle w:val="Normal"/>
        <w:spacing w:lineRule="auto" w:line="360"/>
        <w:ind w:left="708"/>
        <w:jc w:val="both"/>
        <w:rPr>
          <w:i/>
          <w:i/>
          <w:iCs/>
          <w:color w:val="000000"/>
        </w:rPr>
      </w:pPr>
      <w:r>
        <w:rPr>
          <w:i/>
          <w:iCs/>
          <w:color w:val="000000"/>
        </w:rPr>
        <w:t>§1º Deverão ser priorizados os parâmetros estabelecidos nos incisos I e II.”</w:t>
      </w:r>
    </w:p>
    <w:p>
      <w:pPr>
        <w:pStyle w:val="Normal"/>
        <w:spacing w:lineRule="auto" w:line="360"/>
        <w:ind w:left="-426"/>
        <w:jc w:val="both"/>
        <w:rPr>
          <w:color w:val="000000"/>
          <w:sz w:val="24"/>
          <w:szCs w:val="24"/>
        </w:rPr>
      </w:pPr>
      <w:r>
        <w:rPr>
          <w:color w:val="000000"/>
          <w:sz w:val="24"/>
          <w:szCs w:val="24"/>
        </w:rPr>
        <w:t>7.2 Conforme descrito no item 6, a estimativa do valor para contratação será sobre o valor com a aquisição das passagens a serem utilizadas por este Conselho, uma vez que o valor do serviço de agenciamento gira em torno da média de R$ 0,001 (um centésimo de centavo).</w:t>
      </w:r>
    </w:p>
    <w:p>
      <w:pPr>
        <w:pStyle w:val="Normal"/>
        <w:spacing w:lineRule="auto" w:line="360"/>
        <w:ind w:left="-426"/>
        <w:jc w:val="both"/>
        <w:rPr>
          <w:color w:val="000000"/>
          <w:sz w:val="24"/>
          <w:szCs w:val="24"/>
        </w:rPr>
      </w:pPr>
      <w:r>
        <w:rPr>
          <w:color w:val="000000"/>
          <w:sz w:val="24"/>
          <w:szCs w:val="24"/>
        </w:rPr>
        <w:t>7.3 Para utilização de despesas com passagens aéreas e rodoviárias, para o exercício de 2024, o planejamento orçamentário definiu o valor de R$ R$ 278.000,00 (duzentos e setenta e oito mil reais), baseado no valor do contrato e do termo aditivo do contrato anterior, para que seja utilizado o saldo até o nosso processo licitatório ficar pronto, conforme tabela abaixo.</w:t>
      </w:r>
    </w:p>
    <w:p>
      <w:pPr>
        <w:pStyle w:val="Normal"/>
        <w:spacing w:lineRule="auto" w:line="360"/>
        <w:ind w:left="-426"/>
        <w:jc w:val="both"/>
        <w:rPr>
          <w:color w:val="000000"/>
          <w:sz w:val="24"/>
          <w:szCs w:val="24"/>
        </w:rPr>
      </w:pPr>
      <w:r>
        <w:rPr/>
        <w:drawing>
          <wp:inline distT="0" distB="0" distL="0" distR="0">
            <wp:extent cx="6270625" cy="809625"/>
            <wp:effectExtent l="0" t="0" r="0" b="0"/>
            <wp:docPr id="8"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ura2" descr=""/>
                    <pic:cNvPicPr>
                      <a:picLocks noChangeAspect="1" noChangeArrowheads="1"/>
                    </pic:cNvPicPr>
                  </pic:nvPicPr>
                  <pic:blipFill>
                    <a:blip r:embed="rId25"/>
                    <a:stretch>
                      <a:fillRect/>
                    </a:stretch>
                  </pic:blipFill>
                  <pic:spPr bwMode="auto">
                    <a:xfrm>
                      <a:off x="0" y="0"/>
                      <a:ext cx="6270625" cy="809625"/>
                    </a:xfrm>
                    <a:prstGeom prst="rect">
                      <a:avLst/>
                    </a:prstGeom>
                  </pic:spPr>
                </pic:pic>
              </a:graphicData>
            </a:graphic>
          </wp:inline>
        </w:drawing>
      </w:r>
    </w:p>
    <w:p>
      <w:pPr>
        <w:pStyle w:val="Normal"/>
        <w:tabs>
          <w:tab w:val="clear" w:pos="708"/>
          <w:tab w:val="left" w:pos="7635" w:leader="none"/>
        </w:tabs>
        <w:spacing w:lineRule="auto" w:line="360"/>
        <w:ind w:firstLine="1134" w:left="-426"/>
        <w:jc w:val="both"/>
        <w:rPr>
          <w:color w:val="000000"/>
          <w:sz w:val="24"/>
          <w:szCs w:val="24"/>
        </w:rPr>
      </w:pPr>
      <w:r>
        <w:rPr>
          <w:color w:val="000000"/>
          <w:sz w:val="24"/>
          <w:szCs w:val="24"/>
        </w:rPr>
        <w:tab/>
      </w:r>
    </w:p>
    <w:p>
      <w:pPr>
        <w:pStyle w:val="Normal"/>
        <w:shd w:val="clear" w:color="auto" w:fill="D0CECE" w:themeFill="background2" w:themeFillShade="e6"/>
        <w:spacing w:lineRule="auto" w:line="360"/>
        <w:ind w:left="-426"/>
        <w:jc w:val="both"/>
        <w:rPr>
          <w:b/>
          <w:bCs/>
          <w:sz w:val="24"/>
          <w:szCs w:val="24"/>
        </w:rPr>
      </w:pPr>
      <w:r>
        <w:rPr>
          <w:b/>
          <w:bCs/>
          <w:sz w:val="24"/>
          <w:szCs w:val="24"/>
        </w:rPr>
        <w:t>8. DESCRIÇÃO DA SOLUÇÃO COMO UM TODO</w:t>
      </w:r>
    </w:p>
    <w:p>
      <w:pPr>
        <w:pStyle w:val="Normal"/>
        <w:spacing w:lineRule="auto" w:line="360"/>
        <w:ind w:left="-426"/>
        <w:jc w:val="both"/>
        <w:rPr>
          <w:color w:val="000000"/>
          <w:sz w:val="24"/>
          <w:szCs w:val="24"/>
        </w:rPr>
      </w:pPr>
      <w:r>
        <w:rPr>
          <w:color w:val="000000"/>
          <w:sz w:val="24"/>
          <w:szCs w:val="24"/>
        </w:rPr>
        <w:t xml:space="preserve">8.1 Esta contratação se destina à contratação de empresa para prestação de serviços de emissão de passagens aéreas e rodoviárias conforme as especificações e as condições estabelecidas neste processo pelo Conselho Regional de Odontologia. </w:t>
      </w:r>
    </w:p>
    <w:p>
      <w:pPr>
        <w:pStyle w:val="Normal"/>
        <w:shd w:val="clear" w:color="auto" w:fill="D0CECE" w:themeFill="background2" w:themeFillShade="e6"/>
        <w:spacing w:lineRule="auto" w:line="360"/>
        <w:ind w:left="-426"/>
        <w:jc w:val="both"/>
        <w:rPr>
          <w:b/>
          <w:bCs/>
          <w:color w:val="000000"/>
          <w:sz w:val="24"/>
          <w:szCs w:val="24"/>
        </w:rPr>
      </w:pPr>
      <w:r>
        <w:rPr>
          <w:b/>
          <w:bCs/>
          <w:color w:val="000000"/>
          <w:sz w:val="24"/>
          <w:szCs w:val="24"/>
        </w:rPr>
        <w:t>9. JUSTIFICATIVA PARA O PARCELAMENTO OU NÃO DA SOLUÇÃO</w:t>
      </w:r>
    </w:p>
    <w:p>
      <w:pPr>
        <w:pStyle w:val="Normal"/>
        <w:spacing w:lineRule="auto" w:line="360"/>
        <w:ind w:left="-426"/>
        <w:jc w:val="both"/>
        <w:rPr>
          <w:color w:val="000000"/>
          <w:sz w:val="24"/>
          <w:szCs w:val="24"/>
        </w:rPr>
      </w:pPr>
      <w:r>
        <w:rPr>
          <w:color w:val="000000"/>
          <w:sz w:val="24"/>
          <w:szCs w:val="24"/>
        </w:rPr>
        <w:t>9.1 De acordo com inciso II do art. Art. 47. da Lei nº 9433/2021, o parcelamento de obras, serviços e compras efetuadas pela administração é recomendado perante a comprovação de viabilidade técnica e econômica.</w:t>
      </w:r>
    </w:p>
    <w:p>
      <w:pPr>
        <w:pStyle w:val="Normal"/>
        <w:spacing w:lineRule="auto" w:line="360"/>
        <w:ind w:left="-426"/>
        <w:jc w:val="both"/>
        <w:rPr>
          <w:color w:val="000000"/>
          <w:sz w:val="24"/>
          <w:szCs w:val="24"/>
        </w:rPr>
      </w:pPr>
      <w:r>
        <w:rPr>
          <w:color w:val="000000"/>
          <w:sz w:val="24"/>
          <w:szCs w:val="24"/>
        </w:rPr>
        <w:t>9.2 Soma-se ainda a Súmula nº 247, do Tribunal de Contas da União, a saber: “É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a itens ou unidades autônomas, devendo as exigências de habilitação adequar-se a essa divisibilidade.”</w:t>
      </w:r>
    </w:p>
    <w:p>
      <w:pPr>
        <w:pStyle w:val="Normal"/>
        <w:spacing w:lineRule="auto" w:line="360"/>
        <w:ind w:left="-426"/>
        <w:jc w:val="both"/>
        <w:rPr>
          <w:color w:val="000000"/>
          <w:sz w:val="24"/>
          <w:szCs w:val="24"/>
        </w:rPr>
      </w:pPr>
      <w:r>
        <w:rPr>
          <w:color w:val="000000"/>
          <w:sz w:val="24"/>
          <w:szCs w:val="24"/>
        </w:rPr>
        <w:t>9.3 O agrupamento por lote único proposto de todos os itens, visa atingir a economicidade na contratação, uma vez que a prestação de serviço por um único fornecedor diminui o custo administrativo de gerenciamento de todo o processo de contratação, ocasionando, também, o aumento da eficiência administrativas, otimizando o gerenciamento do referido contrato, em contraposição à contratação segmentada.</w:t>
      </w:r>
    </w:p>
    <w:p>
      <w:pPr>
        <w:pStyle w:val="Normal"/>
        <w:spacing w:lineRule="auto" w:line="360"/>
        <w:ind w:firstLine="1134" w:left="-426"/>
        <w:jc w:val="both"/>
        <w:rPr>
          <w:color w:val="000000"/>
          <w:sz w:val="24"/>
          <w:szCs w:val="24"/>
        </w:rPr>
      </w:pPr>
      <w:r>
        <w:rPr>
          <w:color w:val="000000"/>
          <w:sz w:val="24"/>
          <w:szCs w:val="24"/>
        </w:rPr>
        <w:t xml:space="preserve">9.4 De toda sorte, o TCU entende que “inexiste ilegalidade na realização do pregão com previsão de adjudicação por lotes, e não por itens, desde que os lotes sejam integrados dos por itens de uma mesma natureza e que guardem relação entre si”. (acórdão 5.260/2021- 1º Câmara). </w:t>
      </w:r>
    </w:p>
    <w:p>
      <w:pPr>
        <w:pStyle w:val="Normal"/>
        <w:shd w:val="clear" w:color="auto" w:fill="D0CECE" w:themeFill="background2" w:themeFillShade="e6"/>
        <w:spacing w:lineRule="auto" w:line="360"/>
        <w:ind w:left="-426"/>
        <w:jc w:val="both"/>
        <w:rPr>
          <w:b/>
          <w:sz w:val="24"/>
          <w:szCs w:val="24"/>
        </w:rPr>
      </w:pPr>
      <w:r>
        <w:rPr>
          <w:b/>
          <w:sz w:val="24"/>
          <w:szCs w:val="24"/>
        </w:rPr>
        <w:t>10. DEMONSTRATIVO DOS RESULTADOS PRETENDIDOS</w:t>
      </w:r>
    </w:p>
    <w:p>
      <w:pPr>
        <w:pStyle w:val="Normal"/>
        <w:spacing w:lineRule="auto" w:line="360"/>
        <w:ind w:left="-426"/>
        <w:jc w:val="both"/>
        <w:rPr>
          <w:color w:val="000000"/>
        </w:rPr>
      </w:pPr>
      <w:r>
        <w:rPr>
          <w:color w:val="000000"/>
          <w:sz w:val="24"/>
          <w:szCs w:val="24"/>
        </w:rPr>
        <w:t xml:space="preserve">10.1 A contratação visa garantir a este Conselho o pleno desenvolvimento de suas ações externas. Assim, a existência desse contrato é manutenção direta da missão e da visão política e técnica do órgão. Uma vez que promoverá a locomoção dos Conselheiros, Empregados e Colaboradores para outras cidades dentro do país, ou até viagens internacionais, com o intuito de participar de cursos de aperfeiçoamento, seminários, congressos, reuniões de serviço e solenidades em diversos órgãos, assim como, por vezes, ser essencial a integração de setores deste Regional com autoridades e instrutores que possam se deslocar este Estado, Mato Grosso, a fim de ministrar cursos, palestras e similares ao público local. </w:t>
      </w:r>
    </w:p>
    <w:p>
      <w:pPr>
        <w:pStyle w:val="Normal"/>
        <w:shd w:val="clear" w:color="auto" w:fill="D0CECE" w:themeFill="background2" w:themeFillShade="e6"/>
        <w:spacing w:lineRule="auto" w:line="360"/>
        <w:ind w:left="-426"/>
        <w:jc w:val="both"/>
        <w:textAlignment w:val="baseline"/>
        <w:rPr>
          <w:b/>
          <w:bCs/>
          <w:color w:val="000000"/>
          <w:sz w:val="24"/>
          <w:szCs w:val="24"/>
        </w:rPr>
      </w:pPr>
      <w:r>
        <w:rPr>
          <w:b/>
          <w:bCs/>
          <w:color w:val="000000"/>
          <w:sz w:val="24"/>
          <w:szCs w:val="24"/>
        </w:rPr>
        <w:t>11. PROVIDÊNCIAS PRÉVIAS AO CONTRATO</w:t>
      </w:r>
    </w:p>
    <w:p>
      <w:pPr>
        <w:pStyle w:val="Normal"/>
        <w:spacing w:lineRule="auto" w:line="360"/>
        <w:ind w:firstLine="1134" w:left="-426"/>
        <w:jc w:val="both"/>
        <w:rPr/>
      </w:pPr>
      <w:r>
        <w:rPr>
          <w:color w:val="111111"/>
          <w:sz w:val="24"/>
          <w:szCs w:val="24"/>
        </w:rPr>
        <w:t xml:space="preserve">11.1 </w:t>
      </w:r>
      <w:r>
        <w:rPr>
          <w:rFonts w:eastAsia="Calibri"/>
          <w:color w:val="000000"/>
          <w:sz w:val="24"/>
          <w:szCs w:val="24"/>
        </w:rPr>
        <w:t>Cumprir todas as obrigações constantes deste Contrato e do Termo de Referência, assumindo como exclusivamente seus os riscos e as despesas decorrentes da boa e perfeita execução do objeto;</w:t>
      </w:r>
    </w:p>
    <w:p>
      <w:pPr>
        <w:pStyle w:val="Normal"/>
        <w:spacing w:lineRule="auto" w:line="360"/>
        <w:ind w:firstLine="1134" w:left="-426"/>
        <w:jc w:val="both"/>
        <w:rPr/>
      </w:pPr>
      <w:r>
        <w:rPr>
          <w:rFonts w:eastAsia="Calibri"/>
          <w:color w:val="000000"/>
          <w:sz w:val="24"/>
          <w:szCs w:val="24"/>
        </w:rPr>
        <w:t>11.2 Comunicar ao CONTRATANTE, no prazo máximo de 48 (quarenta e oito) horas que antecede a data da entrega do objeto, os motivos que impossibilitem o cumprimento do prazo previsto, com a devida comprovação;</w:t>
      </w:r>
    </w:p>
    <w:p>
      <w:pPr>
        <w:pStyle w:val="Normal"/>
        <w:spacing w:lineRule="auto" w:line="360"/>
        <w:ind w:firstLine="1134" w:left="-426"/>
        <w:jc w:val="both"/>
        <w:rPr/>
      </w:pPr>
      <w:r>
        <w:rPr>
          <w:rFonts w:eastAsia="Calibri"/>
          <w:color w:val="000000"/>
          <w:sz w:val="24"/>
          <w:szCs w:val="24"/>
        </w:rPr>
        <w:t>11.3 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ormal"/>
        <w:spacing w:lineRule="auto" w:line="360"/>
        <w:ind w:firstLine="1134" w:left="-426"/>
        <w:jc w:val="both"/>
        <w:rPr/>
      </w:pPr>
      <w:r>
        <w:rPr>
          <w:rFonts w:eastAsia="Calibri"/>
          <w:color w:val="000000"/>
          <w:sz w:val="24"/>
          <w:szCs w:val="24"/>
        </w:rPr>
        <w:t>11.4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ormal"/>
        <w:spacing w:lineRule="auto" w:line="360"/>
        <w:ind w:firstLine="1134" w:left="-426"/>
        <w:jc w:val="both"/>
        <w:rPr/>
      </w:pPr>
      <w:r>
        <w:rPr>
          <w:rFonts w:eastAsia="Calibri"/>
          <w:color w:val="000000"/>
          <w:sz w:val="24"/>
          <w:szCs w:val="24"/>
        </w:rPr>
        <w:t>11.5 Manter durante toda a vigência do objeto, em compatibilidade com as obrigações assumidas, todas as condições exigidas para habilitações constantes no Termo de Referência;</w:t>
      </w:r>
    </w:p>
    <w:p>
      <w:pPr>
        <w:pStyle w:val="Normal"/>
        <w:spacing w:lineRule="auto" w:line="360"/>
        <w:ind w:firstLine="1134" w:left="-426"/>
        <w:jc w:val="both"/>
        <w:rPr/>
      </w:pPr>
      <w:r>
        <w:rPr>
          <w:rFonts w:eastAsia="Calibri"/>
          <w:color w:val="000000"/>
          <w:sz w:val="24"/>
          <w:szCs w:val="24"/>
        </w:rPr>
        <w:t xml:space="preserve">11.6 </w:t>
      </w:r>
      <w:r>
        <w:rPr>
          <w:rFonts w:eastAsia="Calibri"/>
          <w:color w:val="000000"/>
          <w:sz w:val="23"/>
          <w:szCs w:val="24"/>
        </w:rPr>
        <w:t>Emitir ap</w:t>
      </w:r>
      <w:r>
        <w:rPr>
          <w:color w:val="000000"/>
          <w:sz w:val="23"/>
        </w:rPr>
        <w:t>ólice de seguro em consonância com as normas estabelecidas pelo Conselho Regional de Odontologia - CROMT, de acordo com as coberturas contratadas e contendo todos os dados de edificação.</w:t>
      </w:r>
    </w:p>
    <w:p>
      <w:pPr>
        <w:pStyle w:val="Normal"/>
        <w:spacing w:lineRule="auto" w:line="360"/>
        <w:ind w:firstLine="1134" w:left="-426"/>
        <w:jc w:val="both"/>
        <w:rPr/>
      </w:pPr>
      <w:r>
        <w:rPr>
          <w:color w:val="000000"/>
          <w:sz w:val="23"/>
        </w:rPr>
        <w:t>11.7 Fornecer, junto com a apólice de seguro, manual ou documento equivalente, contendo informações sobre as providências a serem tomadas no caso de sinistro.</w:t>
      </w:r>
    </w:p>
    <w:p>
      <w:pPr>
        <w:pStyle w:val="Normal"/>
        <w:spacing w:lineRule="auto" w:line="360"/>
        <w:ind w:firstLine="1134" w:left="-426"/>
        <w:jc w:val="both"/>
        <w:rPr/>
      </w:pPr>
      <w:r>
        <w:rPr>
          <w:color w:val="000000"/>
          <w:sz w:val="23"/>
        </w:rPr>
        <w:t>11.8 Indenizar o CNJ e/ou terceiros, no prazo máximo de 30 (trinta) dias corridos,  contados da data do recebimento do aviso de sinistro feito pelo contratante, a cobertura devida até o limite das respectivas importâncias, bem como os prejuízos diretamente resultantes dos riscos cobertos pelas garantias contratadas.</w:t>
      </w:r>
    </w:p>
    <w:p>
      <w:pPr>
        <w:pStyle w:val="Normal"/>
        <w:spacing w:lineRule="auto" w:line="360"/>
        <w:ind w:firstLine="1134" w:left="-426"/>
        <w:jc w:val="both"/>
        <w:rPr/>
      </w:pPr>
      <w:r>
        <w:rPr>
          <w:color w:val="000000"/>
          <w:sz w:val="23"/>
        </w:rPr>
        <w:t>11.9 Prover um serviço de atendimento com chamada gratuita, para comunicação com a contratante em caso de acidente/sinistro.</w:t>
      </w:r>
    </w:p>
    <w:p>
      <w:pPr>
        <w:pStyle w:val="Normal"/>
        <w:spacing w:lineRule="auto" w:line="360"/>
        <w:ind w:firstLine="1134" w:left="-426"/>
        <w:jc w:val="both"/>
        <w:rPr/>
      </w:pPr>
      <w:r>
        <w:rPr>
          <w:color w:val="000000"/>
          <w:sz w:val="23"/>
        </w:rPr>
        <w:t>11.10 Providenciar a regularização do sinistro porventura ocorrido, tão logo lhe seja comunicado pelo CROMT.</w:t>
      </w:r>
    </w:p>
    <w:p>
      <w:pPr>
        <w:pStyle w:val="Normal"/>
        <w:spacing w:lineRule="auto" w:line="360"/>
        <w:ind w:firstLine="1134" w:left="-426"/>
        <w:jc w:val="both"/>
        <w:rPr/>
      </w:pPr>
      <w:r>
        <w:rPr>
          <w:b/>
          <w:color w:val="000000"/>
          <w:sz w:val="23"/>
        </w:rPr>
        <w:t>11.11 Outras obrigações previstas no Termo de Referência são parte integrante deste Contrato</w:t>
      </w:r>
      <w:r>
        <w:rPr>
          <w:color w:val="000000"/>
          <w:sz w:val="23"/>
        </w:rPr>
        <w:t xml:space="preserve">. </w:t>
      </w:r>
    </w:p>
    <w:p>
      <w:pPr>
        <w:pStyle w:val="Normal"/>
        <w:shd w:val="clear" w:color="auto" w:fill="D0CECE" w:themeFill="background2" w:themeFillShade="e6"/>
        <w:spacing w:lineRule="auto" w:line="360"/>
        <w:ind w:left="-426"/>
        <w:jc w:val="both"/>
        <w:textAlignment w:val="baseline"/>
        <w:rPr>
          <w:b/>
          <w:bCs/>
          <w:color w:val="000000"/>
          <w:sz w:val="24"/>
          <w:szCs w:val="24"/>
        </w:rPr>
      </w:pPr>
      <w:r>
        <w:rPr>
          <w:b/>
          <w:bCs/>
          <w:color w:val="000000"/>
          <w:sz w:val="24"/>
          <w:szCs w:val="24"/>
        </w:rPr>
        <w:t>12. CONTRATAÇÕES CORRELATAS/ INTERDEPENDENTES</w:t>
      </w:r>
    </w:p>
    <w:p>
      <w:pPr>
        <w:pStyle w:val="Normal"/>
        <w:shd w:val="clear" w:color="auto" w:fill="FFFFFF"/>
        <w:spacing w:lineRule="auto" w:line="360"/>
        <w:ind w:left="-426"/>
        <w:jc w:val="both"/>
        <w:textAlignment w:val="baseline"/>
        <w:rPr>
          <w:sz w:val="24"/>
          <w:szCs w:val="24"/>
        </w:rPr>
      </w:pPr>
      <w:r>
        <w:rPr>
          <w:sz w:val="24"/>
          <w:szCs w:val="24"/>
        </w:rPr>
        <w:tab/>
        <w:t>12.1 Atualmente este Conselho possui, apartados, o contrato 11/2023, processo administrativo nº 00001/2023 (adesão de ata), agenciamento de passagens aéreas e rodoviárias; contudo o saldo do referido contrato foi subestimado, uma vez que a demanda deste Regional foi superior.</w:t>
      </w:r>
    </w:p>
    <w:p>
      <w:pPr>
        <w:pStyle w:val="Normal"/>
        <w:shd w:val="clear" w:color="auto" w:fill="D0CECE" w:themeFill="background2" w:themeFillShade="e6"/>
        <w:spacing w:lineRule="auto" w:line="360"/>
        <w:ind w:left="-426"/>
        <w:jc w:val="both"/>
        <w:textAlignment w:val="baseline"/>
        <w:rPr>
          <w:b/>
          <w:bCs/>
          <w:color w:val="000000"/>
          <w:sz w:val="24"/>
          <w:szCs w:val="24"/>
        </w:rPr>
      </w:pPr>
      <w:r>
        <w:rPr>
          <w:b/>
          <w:bCs/>
          <w:color w:val="000000"/>
          <w:sz w:val="24"/>
          <w:szCs w:val="24"/>
        </w:rPr>
        <w:t>13. IMPACTOS AMBIENTAIS</w:t>
      </w:r>
    </w:p>
    <w:p>
      <w:pPr>
        <w:pStyle w:val="Normal"/>
        <w:shd w:val="clear" w:color="auto" w:fill="FFFFFF"/>
        <w:spacing w:lineRule="auto" w:line="360"/>
        <w:ind w:firstLine="1134" w:left="-426"/>
        <w:jc w:val="both"/>
        <w:textAlignment w:val="baseline"/>
        <w:rPr>
          <w:color w:val="000000"/>
          <w:sz w:val="24"/>
          <w:szCs w:val="24"/>
        </w:rPr>
      </w:pPr>
      <w:r>
        <w:rPr>
          <w:color w:val="000000"/>
          <w:sz w:val="24"/>
          <w:szCs w:val="24"/>
        </w:rPr>
        <w:t xml:space="preserve">13.1 </w:t>
      </w:r>
      <w:r>
        <w:rPr>
          <w:sz w:val="24"/>
          <w:szCs w:val="24"/>
        </w:rPr>
        <w:t>Não haverá impacto ambiental decorrente dessa contratação, no entanto, para atendimento da legislação atinente às melhores práticas de sustentabilidade ambiental no âmbito das contratações públicas, na presente contratação, a Contratada deverá encaminhar os bilhetes de passagens em meio eletrônico, a fim de evitar a impressão de papel.</w:t>
      </w:r>
    </w:p>
    <w:p>
      <w:pPr>
        <w:pStyle w:val="Normal"/>
        <w:shd w:val="clear" w:color="auto" w:fill="D0CECE" w:themeFill="background2" w:themeFillShade="e6"/>
        <w:spacing w:lineRule="auto" w:line="360"/>
        <w:ind w:left="-426"/>
        <w:jc w:val="both"/>
        <w:textAlignment w:val="baseline"/>
        <w:rPr>
          <w:b/>
          <w:bCs/>
          <w:color w:val="000000"/>
          <w:sz w:val="24"/>
          <w:szCs w:val="24"/>
        </w:rPr>
      </w:pPr>
      <w:r>
        <w:rPr>
          <w:b/>
          <w:bCs/>
          <w:color w:val="000000"/>
          <w:sz w:val="24"/>
          <w:szCs w:val="24"/>
        </w:rPr>
        <w:t>14. VIABILIDADE DA CONTRATAÇÃO</w:t>
      </w:r>
    </w:p>
    <w:p>
      <w:pPr>
        <w:pStyle w:val="Normal"/>
        <w:shd w:val="clear" w:color="auto" w:fill="FFFFFF"/>
        <w:spacing w:lineRule="auto" w:line="360"/>
        <w:ind w:firstLine="1134" w:left="-426"/>
        <w:jc w:val="both"/>
        <w:textAlignment w:val="baseline"/>
        <w:rPr>
          <w:color w:val="000000"/>
          <w:sz w:val="24"/>
          <w:szCs w:val="24"/>
        </w:rPr>
      </w:pPr>
      <w:r>
        <w:rPr>
          <w:color w:val="000000"/>
          <w:sz w:val="24"/>
          <w:szCs w:val="24"/>
        </w:rPr>
        <w:t>14.1 A contratação mostra-se viável em termos de disponibilidade, competitividade de mercado e forma de contratação, não se observando óbices ao seu prosseguimento.</w:t>
      </w:r>
    </w:p>
    <w:p>
      <w:pPr>
        <w:pStyle w:val="H6"/>
        <w:shd w:val="clear" w:color="auto" w:fill="FFFFFF"/>
        <w:spacing w:lineRule="auto" w:line="276" w:beforeAutospacing="0" w:before="0" w:after="280"/>
        <w:ind w:firstLine="708"/>
        <w:jc w:val="both"/>
        <w:rPr>
          <w:color w:val="333333"/>
          <w:shd w:fill="FFFFFF" w:val="clear"/>
        </w:rPr>
      </w:pPr>
      <w:r>
        <w:rPr>
          <w:color w:val="333333"/>
          <w:shd w:fill="FFFFFF" w:val="clear"/>
        </w:rPr>
        <w:t>14.2 Informe abaixo a </w:t>
      </w:r>
      <w:r>
        <w:rPr>
          <w:b/>
          <w:bCs/>
          <w:color w:val="333333"/>
          <w:shd w:fill="FFFFFF" w:val="clear"/>
        </w:rPr>
        <w:t>viabilidade</w:t>
      </w:r>
      <w:r>
        <w:rPr>
          <w:color w:val="333333"/>
          <w:shd w:fill="FFFFFF" w:val="clear"/>
        </w:rPr>
        <w:t> do objeto deste ETP. Caso o projeto seja inviável, é obrigatório </w:t>
      </w:r>
      <w:r>
        <w:rPr>
          <w:b/>
          <w:bCs/>
          <w:color w:val="333333"/>
          <w:shd w:fill="FFFFFF" w:val="clear"/>
        </w:rPr>
        <w:t>informar a justificativa de inviabilidade</w:t>
      </w:r>
      <w:r>
        <w:rPr>
          <w:color w:val="333333"/>
          <w:shd w:fill="FFFFFF" w:val="clear"/>
        </w:rPr>
        <w:t>.</w:t>
      </w:r>
    </w:p>
    <w:p>
      <w:pPr>
        <w:pStyle w:val="Normal"/>
        <w:shd w:val="clear" w:color="auto" w:fill="FFFFFF"/>
        <w:spacing w:lineRule="auto" w:line="276"/>
        <w:jc w:val="both"/>
        <w:textAlignment w:val="top"/>
        <w:rPr>
          <w:color w:val="333333"/>
          <w:sz w:val="24"/>
          <w:szCs w:val="24"/>
        </w:rPr>
      </w:pPr>
      <w:r>
        <w:rPr/>
        <w:drawing>
          <wp:inline distT="0" distB="0" distL="0" distR="0">
            <wp:extent cx="257175" cy="228600"/>
            <wp:effectExtent l="0" t="0" r="0" b="0"/>
            <wp:docPr id="9"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gura1" descr=""/>
                    <pic:cNvPicPr>
                      <a:picLocks noChangeAspect="1" noChangeArrowheads="1"/>
                    </pic:cNvPicPr>
                  </pic:nvPicPr>
                  <pic:blipFill>
                    <a:blip r:embed="rId26"/>
                    <a:stretch>
                      <a:fillRect/>
                    </a:stretch>
                  </pic:blipFill>
                  <pic:spPr bwMode="auto">
                    <a:xfrm>
                      <a:off x="0" y="0"/>
                      <a:ext cx="257175" cy="228600"/>
                    </a:xfrm>
                    <a:prstGeom prst="rect">
                      <a:avLst/>
                    </a:prstGeom>
                  </pic:spPr>
                </pic:pic>
              </a:graphicData>
            </a:graphic>
          </wp:inline>
        </w:drawing>
      </w:r>
      <w:r>
        <w:rPr>
          <w:color w:val="333333"/>
          <w:sz w:val="24"/>
          <w:szCs w:val="24"/>
        </w:rPr>
        <w:t>Esta equipe de planejamento declara </w:t>
      </w:r>
      <w:r>
        <w:rPr>
          <w:b/>
          <w:bCs/>
          <w:color w:val="333333"/>
          <w:sz w:val="24"/>
          <w:szCs w:val="24"/>
        </w:rPr>
        <w:t>viável</w:t>
      </w:r>
      <w:r>
        <w:rPr>
          <w:color w:val="333333"/>
          <w:sz w:val="24"/>
          <w:szCs w:val="24"/>
        </w:rPr>
        <w:t> esta contratação com base neste Estudo Técnico Preliminar.</w:t>
      </w:r>
    </w:p>
    <w:p>
      <w:pPr>
        <w:pStyle w:val="Normal"/>
        <w:shd w:val="clear" w:color="auto" w:fill="FFFFFF"/>
        <w:spacing w:lineRule="auto" w:line="276"/>
        <w:ind w:left="993"/>
        <w:jc w:val="both"/>
        <w:textAlignment w:val="top"/>
        <w:rPr>
          <w:sz w:val="24"/>
          <w:szCs w:val="24"/>
          <w:shd w:fill="FFFFFF" w:val="clear"/>
        </w:rPr>
      </w:pPr>
      <w:r>
        <w:rPr>
          <w:sz w:val="24"/>
          <w:szCs w:val="24"/>
          <w:shd w:fill="FFFFFF" w:val="clear"/>
        </w:rPr>
        <w:t>1. A contratação alinha-se às finalidades da instituição e é viável do ponto de vista ambiental, econômico e estratégico, conforme demonstra este estudo.</w:t>
      </w:r>
    </w:p>
    <w:p>
      <w:pPr>
        <w:pStyle w:val="Normal"/>
        <w:shd w:val="clear" w:color="auto" w:fill="FFFFFF"/>
        <w:spacing w:lineRule="auto" w:line="276"/>
        <w:ind w:left="993"/>
        <w:jc w:val="both"/>
        <w:textAlignment w:val="top"/>
        <w:rPr>
          <w:sz w:val="24"/>
          <w:szCs w:val="24"/>
          <w:shd w:fill="FFFFFF" w:val="clear"/>
        </w:rPr>
      </w:pPr>
      <w:r>
        <w:rPr>
          <w:sz w:val="24"/>
          <w:szCs w:val="24"/>
          <w:shd w:fill="FFFFFF" w:val="clear"/>
        </w:rPr>
        <w:t>2. Os requisitos relevantes para contratação foram adequadamente levantados e analisados.</w:t>
      </w:r>
    </w:p>
    <w:p>
      <w:pPr>
        <w:pStyle w:val="Normal"/>
        <w:shd w:val="clear" w:color="auto" w:fill="FFFFFF"/>
        <w:spacing w:lineRule="auto" w:line="276"/>
        <w:ind w:left="993"/>
        <w:jc w:val="both"/>
        <w:textAlignment w:val="top"/>
        <w:rPr>
          <w:sz w:val="24"/>
          <w:szCs w:val="24"/>
          <w:shd w:fill="FFFFFF" w:val="clear"/>
        </w:rPr>
      </w:pPr>
      <w:r>
        <w:rPr>
          <w:sz w:val="24"/>
          <w:szCs w:val="24"/>
          <w:shd w:fill="FFFFFF" w:val="clear"/>
        </w:rPr>
        <w:t>3. As quantidades sugeridas para contratação estão coerentes com a demanda prevista no Plano Anual de Contratações e com a série histórica dos contratos.</w:t>
      </w:r>
    </w:p>
    <w:p>
      <w:pPr>
        <w:pStyle w:val="Normal"/>
        <w:shd w:val="clear" w:color="auto" w:fill="FFFFFF"/>
        <w:spacing w:lineRule="auto" w:line="276"/>
        <w:ind w:left="993"/>
        <w:jc w:val="both"/>
        <w:textAlignment w:val="top"/>
        <w:rPr>
          <w:sz w:val="24"/>
          <w:szCs w:val="24"/>
          <w:shd w:fill="FFFFFF" w:val="clear"/>
        </w:rPr>
      </w:pPr>
      <w:r>
        <w:rPr>
          <w:sz w:val="24"/>
          <w:szCs w:val="24"/>
          <w:shd w:fill="FFFFFF" w:val="clear"/>
        </w:rPr>
        <w:t>4. No mercado existem as soluções propostas e essa solução é viável, além de ser fornecida por quase todos prestadores de serviço das áreas, o que é um indicativo da participação de várias empresas na seleção do fornecedor.</w:t>
      </w:r>
    </w:p>
    <w:p>
      <w:pPr>
        <w:pStyle w:val="Normal"/>
        <w:shd w:val="clear" w:color="auto" w:fill="FFFFFF"/>
        <w:spacing w:lineRule="auto" w:line="276"/>
        <w:ind w:left="993"/>
        <w:jc w:val="both"/>
        <w:textAlignment w:val="top"/>
        <w:rPr>
          <w:sz w:val="24"/>
          <w:szCs w:val="24"/>
          <w:shd w:fill="FFFFFF" w:val="clear"/>
        </w:rPr>
      </w:pPr>
      <w:r>
        <w:rPr>
          <w:sz w:val="24"/>
          <w:szCs w:val="24"/>
          <w:shd w:fill="FFFFFF" w:val="clear"/>
        </w:rPr>
        <w:t>5. As estimativas preliminares dos preços foram feitas e estão documentadas adequadamente neste estudo.</w:t>
      </w:r>
    </w:p>
    <w:p>
      <w:pPr>
        <w:pStyle w:val="Normal"/>
        <w:shd w:val="clear" w:color="auto" w:fill="FFFFFF"/>
        <w:spacing w:lineRule="auto" w:line="276"/>
        <w:ind w:left="993"/>
        <w:jc w:val="both"/>
        <w:textAlignment w:val="top"/>
        <w:rPr>
          <w:sz w:val="24"/>
          <w:szCs w:val="24"/>
          <w:shd w:fill="FFFFFF" w:val="clear"/>
        </w:rPr>
      </w:pPr>
      <w:r>
        <w:rPr>
          <w:sz w:val="24"/>
          <w:szCs w:val="24"/>
          <w:shd w:fill="FFFFFF" w:val="clear"/>
        </w:rPr>
        <w:t>6. O estudo indica a necessidade do parcelamento da solução e define os resultados pretendidos com a contratação.</w:t>
      </w:r>
    </w:p>
    <w:p>
      <w:pPr>
        <w:pStyle w:val="Normal"/>
        <w:shd w:val="clear" w:color="auto" w:fill="FFFFFF"/>
        <w:spacing w:lineRule="auto" w:line="276"/>
        <w:ind w:left="993"/>
        <w:jc w:val="both"/>
        <w:textAlignment w:val="top"/>
        <w:rPr>
          <w:sz w:val="24"/>
          <w:szCs w:val="24"/>
          <w:shd w:fill="FFFFFF" w:val="clear"/>
        </w:rPr>
      </w:pPr>
      <w:r>
        <w:rPr>
          <w:sz w:val="24"/>
          <w:szCs w:val="24"/>
          <w:shd w:fill="FFFFFF" w:val="clear"/>
        </w:rPr>
        <w:t>7. A relação custo-benefício da contratação é considerada favorável.</w:t>
      </w:r>
    </w:p>
    <w:p>
      <w:pPr>
        <w:pStyle w:val="Normal"/>
        <w:shd w:val="clear" w:color="auto" w:fill="FFFFFF"/>
        <w:spacing w:lineRule="auto" w:line="276"/>
        <w:ind w:left="993"/>
        <w:jc w:val="both"/>
        <w:textAlignment w:val="top"/>
        <w:rPr>
          <w:sz w:val="24"/>
          <w:szCs w:val="24"/>
          <w:shd w:fill="FFFFFF" w:val="clear"/>
        </w:rPr>
      </w:pPr>
      <w:r>
        <w:rPr>
          <w:sz w:val="24"/>
          <w:szCs w:val="24"/>
          <w:shd w:fill="FFFFFF" w:val="clear"/>
        </w:rPr>
        <w:t>8. Há evidências de que as áreas requisitantes se comprometeram com o planejamento preliminar das soluções e há expectativa de que apoiará a construção do termo de referência ou do projeto básico e apoiará o esforço de gestão do contrato.</w:t>
      </w:r>
    </w:p>
    <w:p>
      <w:pPr>
        <w:pStyle w:val="Normal"/>
        <w:shd w:val="clear" w:color="auto" w:fill="FFFFFF"/>
        <w:spacing w:lineRule="auto" w:line="276"/>
        <w:jc w:val="both"/>
        <w:textAlignment w:val="top"/>
        <w:rPr>
          <w:color w:val="333333"/>
          <w:sz w:val="24"/>
          <w:szCs w:val="24"/>
        </w:rPr>
      </w:pPr>
      <w:r>
        <w:rPr/>
        <w:drawing>
          <wp:inline distT="0" distB="0" distL="0" distR="0">
            <wp:extent cx="257175" cy="228600"/>
            <wp:effectExtent l="0" t="0" r="0" b="0"/>
            <wp:docPr id="10" name="Figura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ura4" descr=""/>
                    <pic:cNvPicPr>
                      <a:picLocks noChangeAspect="1" noChangeArrowheads="1"/>
                    </pic:cNvPicPr>
                  </pic:nvPicPr>
                  <pic:blipFill>
                    <a:blip r:embed="rId27"/>
                    <a:stretch>
                      <a:fillRect/>
                    </a:stretch>
                  </pic:blipFill>
                  <pic:spPr bwMode="auto">
                    <a:xfrm>
                      <a:off x="0" y="0"/>
                      <a:ext cx="257175" cy="228600"/>
                    </a:xfrm>
                    <a:prstGeom prst="rect">
                      <a:avLst/>
                    </a:prstGeom>
                  </pic:spPr>
                </pic:pic>
              </a:graphicData>
            </a:graphic>
          </wp:inline>
        </w:drawing>
      </w:r>
      <w:r>
        <w:rPr>
          <w:color w:val="333333"/>
          <w:sz w:val="24"/>
          <w:szCs w:val="24"/>
        </w:rPr>
        <w:t>Esta equipe de planejamento declara </w:t>
      </w:r>
      <w:r>
        <w:rPr>
          <w:b/>
          <w:bCs/>
          <w:color w:val="333333"/>
          <w:sz w:val="24"/>
          <w:szCs w:val="24"/>
        </w:rPr>
        <w:t>viável com restrições</w:t>
      </w:r>
      <w:r>
        <w:rPr>
          <w:color w:val="333333"/>
          <w:sz w:val="24"/>
          <w:szCs w:val="24"/>
        </w:rPr>
        <w:t> esta contratação com base neste Estudo Técnico Preliminar.</w:t>
      </w:r>
    </w:p>
    <w:p>
      <w:pPr>
        <w:pStyle w:val="Normal"/>
        <w:shd w:val="clear" w:color="auto" w:fill="FFFFFF"/>
        <w:spacing w:lineRule="auto" w:line="276"/>
        <w:jc w:val="both"/>
        <w:textAlignment w:val="top"/>
        <w:rPr>
          <w:color w:val="333333"/>
          <w:sz w:val="24"/>
          <w:szCs w:val="24"/>
          <w:shd w:fill="FFFFFF" w:val="clear"/>
        </w:rPr>
      </w:pPr>
      <w:r>
        <w:rPr/>
        <w:drawing>
          <wp:inline distT="0" distB="0" distL="0" distR="0">
            <wp:extent cx="257175" cy="228600"/>
            <wp:effectExtent l="0" t="0" r="0" b="0"/>
            <wp:docPr id="11"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gura3" descr=""/>
                    <pic:cNvPicPr>
                      <a:picLocks noChangeAspect="1" noChangeArrowheads="1"/>
                    </pic:cNvPicPr>
                  </pic:nvPicPr>
                  <pic:blipFill>
                    <a:blip r:embed="rId28"/>
                    <a:stretch>
                      <a:fillRect/>
                    </a:stretch>
                  </pic:blipFill>
                  <pic:spPr bwMode="auto">
                    <a:xfrm>
                      <a:off x="0" y="0"/>
                      <a:ext cx="257175" cy="228600"/>
                    </a:xfrm>
                    <a:prstGeom prst="rect">
                      <a:avLst/>
                    </a:prstGeom>
                  </pic:spPr>
                </pic:pic>
              </a:graphicData>
            </a:graphic>
          </wp:inline>
        </w:drawing>
      </w:r>
      <w:r>
        <w:rPr>
          <w:color w:val="333333"/>
          <w:sz w:val="24"/>
          <w:szCs w:val="24"/>
        </w:rPr>
        <w:t>Esta equipe de planejamento declara </w:t>
      </w:r>
      <w:r>
        <w:rPr>
          <w:b/>
          <w:bCs/>
          <w:color w:val="333333"/>
          <w:sz w:val="24"/>
          <w:szCs w:val="24"/>
        </w:rPr>
        <w:t>inviável</w:t>
      </w:r>
      <w:r>
        <w:rPr>
          <w:color w:val="333333"/>
          <w:sz w:val="24"/>
          <w:szCs w:val="24"/>
        </w:rPr>
        <w:t> esta contratação com base neste Estudo Técnico Preliminar.</w:t>
      </w:r>
      <w:r>
        <w:rPr>
          <w:color w:val="333333"/>
          <w:sz w:val="24"/>
          <w:szCs w:val="24"/>
          <w:shd w:fill="FFFFFF" w:val="clear"/>
        </w:rPr>
        <w:t xml:space="preserve"> </w:t>
      </w:r>
    </w:p>
    <w:p>
      <w:pPr>
        <w:pStyle w:val="Normal"/>
        <w:shd w:val="clear" w:color="auto" w:fill="D0CECE" w:themeFill="background2" w:themeFillShade="e6"/>
        <w:spacing w:lineRule="auto" w:line="360"/>
        <w:ind w:left="-426"/>
        <w:jc w:val="both"/>
        <w:rPr>
          <w:b/>
          <w:sz w:val="24"/>
          <w:szCs w:val="24"/>
        </w:rPr>
      </w:pPr>
      <w:r>
        <w:rPr>
          <w:b/>
          <w:sz w:val="24"/>
          <w:szCs w:val="24"/>
        </w:rPr>
        <w:t>ASSINATURA:</w:t>
      </w:r>
    </w:p>
    <w:p>
      <w:pPr>
        <w:pStyle w:val="Normal"/>
        <w:jc w:val="both"/>
        <w:rPr>
          <w:b/>
          <w:bCs/>
          <w:sz w:val="24"/>
          <w:szCs w:val="24"/>
        </w:rPr>
      </w:pPr>
      <w:r>
        <w:rPr>
          <w:b/>
          <w:bCs/>
          <w:sz w:val="24"/>
          <w:szCs w:val="24"/>
        </w:rPr>
      </w:r>
    </w:p>
    <w:p>
      <w:pPr>
        <w:pStyle w:val="Normal"/>
        <w:jc w:val="both"/>
        <w:rPr>
          <w:b/>
          <w:bCs/>
          <w:sz w:val="24"/>
          <w:szCs w:val="24"/>
        </w:rPr>
      </w:pPr>
      <w:r>
        <w:rPr>
          <w:b/>
          <w:bCs/>
          <w:sz w:val="24"/>
          <w:szCs w:val="24"/>
        </w:rPr>
        <w:t>IURYKA BORGES FERNANDES</w:t>
      </w:r>
    </w:p>
    <w:p>
      <w:pPr>
        <w:pStyle w:val="Normal"/>
        <w:jc w:val="both"/>
        <w:rPr>
          <w:sz w:val="24"/>
          <w:szCs w:val="24"/>
        </w:rPr>
      </w:pPr>
      <w:r>
        <w:rPr>
          <w:sz w:val="24"/>
          <w:szCs w:val="24"/>
        </w:rPr>
        <w:t xml:space="preserve">Assistente Administrativo </w:t>
      </w:r>
    </w:p>
    <w:p>
      <w:pPr>
        <w:pStyle w:val="Normal"/>
        <w:jc w:val="both"/>
        <w:rPr>
          <w:sz w:val="24"/>
          <w:szCs w:val="24"/>
        </w:rPr>
      </w:pPr>
      <w:r>
        <w:rPr>
          <w:sz w:val="24"/>
          <w:szCs w:val="24"/>
        </w:rPr>
        <w:t>Setor de Fiscalização de Contratos</w:t>
      </w:r>
    </w:p>
    <w:p>
      <w:pPr>
        <w:pStyle w:val="Normal"/>
        <w:jc w:val="both"/>
        <w:rPr>
          <w:sz w:val="24"/>
          <w:szCs w:val="24"/>
        </w:rPr>
      </w:pPr>
      <w:r>
        <w:rPr>
          <w:sz w:val="24"/>
          <w:szCs w:val="24"/>
        </w:rPr>
        <w:t>Conselho Regional de Odontologia de Mato Grosso - CROMT</w:t>
      </w:r>
    </w:p>
    <w:p>
      <w:pPr>
        <w:pStyle w:val="Normal"/>
        <w:spacing w:lineRule="auto" w:line="360"/>
        <w:ind w:left="-426"/>
        <w:jc w:val="both"/>
        <w:rPr>
          <w:sz w:val="24"/>
          <w:szCs w:val="24"/>
        </w:rPr>
      </w:pPr>
      <w:r>
        <w:rPr>
          <w:sz w:val="24"/>
          <w:szCs w:val="24"/>
        </w:rPr>
      </w:r>
    </w:p>
    <w:p>
      <w:pPr>
        <w:pStyle w:val="Normal"/>
        <w:spacing w:lineRule="auto" w:line="360"/>
        <w:ind w:left="-426"/>
        <w:jc w:val="both"/>
        <w:rPr/>
      </w:pPr>
      <w:r>
        <w:rPr/>
        <w:t>*ASSINADO DIGITALMENTE</w:t>
      </w:r>
    </w:p>
    <w:p>
      <w:pPr>
        <w:pStyle w:val="Normal"/>
        <w:jc w:val="both"/>
        <w:rPr>
          <w:sz w:val="24"/>
          <w:szCs w:val="24"/>
        </w:rPr>
      </w:pPr>
      <w:r>
        <w:rPr>
          <w:sz w:val="24"/>
          <w:szCs w:val="24"/>
        </w:rPr>
      </w:r>
    </w:p>
    <w:sectPr>
      <w:type w:val="continuous"/>
      <w:pgSz w:w="11906" w:h="16838"/>
      <w:pgMar w:left="851" w:right="849" w:gutter="0" w:header="708" w:top="1417" w:footer="708" w:bottom="1417"/>
      <w:formProt w:val="false"/>
      <w:textDirection w:val="lrTb"/>
      <w:docGrid w:type="default" w:linePitch="600" w:charSpace="4096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Verdana">
    <w:charset w:val="00"/>
    <w:family w:val="roman"/>
    <w:pitch w:val="variable"/>
  </w:font>
  <w:font w:name="Liberation Sans">
    <w:altName w:val="Arial"/>
    <w:charset w:val="00"/>
    <w:family w:val="roman"/>
    <w:pitch w:val="variable"/>
  </w:font>
  <w:font w:name="Arial">
    <w:charset w:val="00"/>
    <w:family w:val="roman"/>
    <w:pitch w:val="variable"/>
  </w:font>
  <w:font w:name="Tahoma">
    <w:charset w:val="00"/>
    <w:family w:val="roman"/>
    <w:pitch w:val="variable"/>
  </w:font>
  <w:font w:name="Impac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drawing>
        <wp:anchor behindDoc="1" distT="0" distB="0" distL="0" distR="0" simplePos="0" locked="0" layoutInCell="0" allowOverlap="1" relativeHeight="55">
          <wp:simplePos x="0" y="0"/>
          <wp:positionH relativeFrom="page">
            <wp:posOffset>35560</wp:posOffset>
          </wp:positionH>
          <wp:positionV relativeFrom="page">
            <wp:posOffset>10631805</wp:posOffset>
          </wp:positionV>
          <wp:extent cx="7559675" cy="59690"/>
          <wp:effectExtent l="0" t="0" r="0" b="0"/>
          <wp:wrapNone/>
          <wp:docPr id="5"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png" descr=""/>
                  <pic:cNvPicPr>
                    <a:picLocks noChangeAspect="1" noChangeArrowheads="1"/>
                  </pic:cNvPicPr>
                </pic:nvPicPr>
                <pic:blipFill>
                  <a:blip r:embed="rId1"/>
                  <a:stretch>
                    <a:fillRect/>
                  </a:stretch>
                </pic:blipFill>
                <pic:spPr bwMode="auto">
                  <a:xfrm>
                    <a:off x="0" y="0"/>
                    <a:ext cx="7559675" cy="59690"/>
                  </a:xfrm>
                  <a:prstGeom prst="rect">
                    <a:avLst/>
                  </a:prstGeom>
                </pic:spPr>
              </pic:pic>
            </a:graphicData>
          </a:graphic>
        </wp:anchor>
      </w:drawing>
      <mc:AlternateContent>
        <mc:Choice Requires="wps">
          <w:drawing>
            <wp:anchor behindDoc="1" distT="0" distB="0" distL="0" distR="0" simplePos="0" locked="0" layoutInCell="0" allowOverlap="1" relativeHeight="162" wp14:anchorId="567F5F07">
              <wp:simplePos x="0" y="0"/>
              <wp:positionH relativeFrom="page">
                <wp:posOffset>5041900</wp:posOffset>
              </wp:positionH>
              <wp:positionV relativeFrom="paragraph">
                <wp:posOffset>5715</wp:posOffset>
              </wp:positionV>
              <wp:extent cx="2766060" cy="485775"/>
              <wp:effectExtent l="0" t="0" r="0" b="0"/>
              <wp:wrapNone/>
              <wp:docPr id="6" name="Caixa de Texto 1"/>
              <a:graphic xmlns:a="http://schemas.openxmlformats.org/drawingml/2006/main">
                <a:graphicData uri="http://schemas.microsoft.com/office/word/2010/wordprocessingShape">
                  <wps:wsp>
                    <wps:cNvSpPr/>
                    <wps:spPr>
                      <a:xfrm>
                        <a:off x="0" y="0"/>
                        <a:ext cx="2766240" cy="485640"/>
                      </a:xfrm>
                      <a:prstGeom prst="rect">
                        <a:avLst/>
                      </a:prstGeom>
                      <a:solidFill>
                        <a:srgbClr val="ffffff"/>
                      </a:solidFill>
                      <a:ln w="0">
                        <a:noFill/>
                      </a:ln>
                    </wps:spPr>
                    <wps:style>
                      <a:lnRef idx="0"/>
                      <a:fillRef idx="0"/>
                      <a:effectRef idx="0"/>
                      <a:fontRef idx="minor"/>
                    </wps:style>
                    <wps:txbx>
                      <w:txbxContent>
                        <w:p>
                          <w:pPr>
                            <w:pStyle w:val="Contedodoquadro"/>
                            <w:jc w:val="center"/>
                            <w:rPr>
                              <w:color w:val="990002"/>
                              <w:w w:val="90"/>
                              <w:sz w:val="18"/>
                              <w:szCs w:val="18"/>
                            </w:rPr>
                          </w:pPr>
                          <w:r>
                            <w:rPr>
                              <w:color w:val="990002"/>
                              <w:spacing w:val="-1"/>
                              <w:w w:val="90"/>
                              <w:sz w:val="18"/>
                              <w:szCs w:val="18"/>
                            </w:rPr>
                            <w:t>Rua</w:t>
                          </w:r>
                          <w:r>
                            <w:rPr>
                              <w:color w:val="990002"/>
                              <w:spacing w:val="-9"/>
                              <w:w w:val="90"/>
                              <w:sz w:val="18"/>
                              <w:szCs w:val="18"/>
                            </w:rPr>
                            <w:t xml:space="preserve"> </w:t>
                          </w:r>
                          <w:r>
                            <w:rPr>
                              <w:color w:val="990002"/>
                              <w:spacing w:val="-1"/>
                              <w:w w:val="90"/>
                              <w:sz w:val="18"/>
                              <w:szCs w:val="18"/>
                            </w:rPr>
                            <w:t>5,</w:t>
                          </w:r>
                          <w:r>
                            <w:rPr>
                              <w:color w:val="990002"/>
                              <w:spacing w:val="-9"/>
                              <w:w w:val="90"/>
                              <w:sz w:val="18"/>
                              <w:szCs w:val="18"/>
                            </w:rPr>
                            <w:t xml:space="preserve"> </w:t>
                          </w:r>
                          <w:r>
                            <w:rPr>
                              <w:color w:val="990002"/>
                              <w:w w:val="90"/>
                              <w:sz w:val="18"/>
                              <w:szCs w:val="18"/>
                            </w:rPr>
                            <w:t>Quadra</w:t>
                          </w:r>
                          <w:r>
                            <w:rPr>
                              <w:color w:val="990002"/>
                              <w:spacing w:val="-9"/>
                              <w:w w:val="90"/>
                              <w:sz w:val="18"/>
                              <w:szCs w:val="18"/>
                            </w:rPr>
                            <w:t xml:space="preserve"> </w:t>
                          </w:r>
                          <w:r>
                            <w:rPr>
                              <w:color w:val="990002"/>
                              <w:w w:val="90"/>
                              <w:sz w:val="18"/>
                              <w:szCs w:val="18"/>
                            </w:rPr>
                            <w:t>12,</w:t>
                          </w:r>
                          <w:r>
                            <w:rPr>
                              <w:color w:val="990002"/>
                              <w:spacing w:val="-9"/>
                              <w:w w:val="90"/>
                              <w:sz w:val="18"/>
                              <w:szCs w:val="18"/>
                            </w:rPr>
                            <w:t xml:space="preserve"> </w:t>
                          </w:r>
                          <w:r>
                            <w:rPr>
                              <w:color w:val="990002"/>
                              <w:w w:val="90"/>
                              <w:sz w:val="18"/>
                              <w:szCs w:val="18"/>
                            </w:rPr>
                            <w:t>Lote</w:t>
                          </w:r>
                          <w:r>
                            <w:rPr>
                              <w:color w:val="990002"/>
                              <w:spacing w:val="-8"/>
                              <w:w w:val="90"/>
                              <w:sz w:val="18"/>
                              <w:szCs w:val="18"/>
                            </w:rPr>
                            <w:t xml:space="preserve"> </w:t>
                          </w:r>
                          <w:r>
                            <w:rPr>
                              <w:color w:val="990002"/>
                              <w:w w:val="90"/>
                              <w:sz w:val="18"/>
                              <w:szCs w:val="18"/>
                            </w:rPr>
                            <w:t>7,</w:t>
                          </w:r>
                          <w:r>
                            <w:rPr>
                              <w:color w:val="990002"/>
                              <w:spacing w:val="-9"/>
                              <w:w w:val="90"/>
                              <w:sz w:val="18"/>
                              <w:szCs w:val="18"/>
                            </w:rPr>
                            <w:t xml:space="preserve"> </w:t>
                          </w:r>
                          <w:r>
                            <w:rPr>
                              <w:color w:val="990002"/>
                              <w:w w:val="90"/>
                              <w:sz w:val="18"/>
                              <w:szCs w:val="18"/>
                            </w:rPr>
                            <w:t>Setor</w:t>
                          </w:r>
                          <w:r>
                            <w:rPr>
                              <w:color w:val="990002"/>
                              <w:spacing w:val="-9"/>
                              <w:w w:val="90"/>
                              <w:sz w:val="18"/>
                              <w:szCs w:val="18"/>
                            </w:rPr>
                            <w:t xml:space="preserve"> </w:t>
                          </w:r>
                          <w:r>
                            <w:rPr>
                              <w:color w:val="990002"/>
                              <w:w w:val="90"/>
                              <w:sz w:val="18"/>
                              <w:szCs w:val="18"/>
                            </w:rPr>
                            <w:t>A,</w:t>
                          </w:r>
                          <w:r>
                            <w:rPr>
                              <w:color w:val="990002"/>
                              <w:spacing w:val="-9"/>
                              <w:w w:val="90"/>
                              <w:sz w:val="18"/>
                              <w:szCs w:val="18"/>
                            </w:rPr>
                            <w:t xml:space="preserve"> </w:t>
                          </w:r>
                          <w:r>
                            <w:rPr>
                              <w:color w:val="990002"/>
                              <w:w w:val="90"/>
                              <w:sz w:val="18"/>
                              <w:szCs w:val="18"/>
                            </w:rPr>
                            <w:t>Centro</w:t>
                          </w:r>
                          <w:r>
                            <w:rPr>
                              <w:color w:val="990002"/>
                              <w:spacing w:val="-9"/>
                              <w:w w:val="90"/>
                              <w:sz w:val="18"/>
                              <w:szCs w:val="18"/>
                            </w:rPr>
                            <w:t xml:space="preserve"> </w:t>
                          </w:r>
                          <w:r>
                            <w:rPr>
                              <w:color w:val="990002"/>
                              <w:w w:val="90"/>
                              <w:sz w:val="18"/>
                              <w:szCs w:val="18"/>
                            </w:rPr>
                            <w:t>Político</w:t>
                          </w:r>
                        </w:p>
                        <w:p>
                          <w:pPr>
                            <w:pStyle w:val="Contedodoquadro"/>
                            <w:jc w:val="center"/>
                            <w:rPr>
                              <w:color w:val="990002"/>
                              <w:w w:val="90"/>
                              <w:sz w:val="18"/>
                              <w:szCs w:val="18"/>
                            </w:rPr>
                          </w:pPr>
                          <w:r>
                            <w:rPr>
                              <w:color w:val="990002"/>
                              <w:w w:val="90"/>
                              <w:sz w:val="18"/>
                              <w:szCs w:val="18"/>
                            </w:rPr>
                            <w:t>Administrativo, Cuiabá-MT CEP: 78049-035</w:t>
                          </w:r>
                        </w:p>
                        <w:p>
                          <w:pPr>
                            <w:pStyle w:val="Contedodoquadro"/>
                            <w:jc w:val="center"/>
                            <w:rPr>
                              <w:sz w:val="18"/>
                              <w:szCs w:val="18"/>
                            </w:rPr>
                          </w:pPr>
                          <w:r>
                            <w:rPr>
                              <w:color w:val="990002"/>
                              <w:w w:val="90"/>
                              <w:sz w:val="18"/>
                              <w:szCs w:val="18"/>
                            </w:rPr>
                            <w:t>Telefones:</w:t>
                          </w:r>
                          <w:r>
                            <w:rPr>
                              <w:color w:val="990002"/>
                              <w:spacing w:val="-6"/>
                              <w:w w:val="90"/>
                              <w:sz w:val="18"/>
                              <w:szCs w:val="18"/>
                            </w:rPr>
                            <w:t xml:space="preserve"> </w:t>
                          </w:r>
                          <w:r>
                            <w:rPr>
                              <w:color w:val="990002"/>
                              <w:w w:val="90"/>
                              <w:sz w:val="18"/>
                              <w:szCs w:val="18"/>
                            </w:rPr>
                            <w:t>0800</w:t>
                          </w:r>
                          <w:r>
                            <w:rPr>
                              <w:color w:val="990002"/>
                              <w:spacing w:val="-5"/>
                              <w:w w:val="90"/>
                              <w:sz w:val="18"/>
                              <w:szCs w:val="18"/>
                            </w:rPr>
                            <w:t xml:space="preserve"> </w:t>
                          </w:r>
                          <w:r>
                            <w:rPr>
                              <w:color w:val="990002"/>
                              <w:w w:val="90"/>
                              <w:sz w:val="18"/>
                              <w:szCs w:val="18"/>
                            </w:rPr>
                            <w:t>723</w:t>
                          </w:r>
                          <w:r>
                            <w:rPr>
                              <w:color w:val="990002"/>
                              <w:spacing w:val="-6"/>
                              <w:w w:val="90"/>
                              <w:sz w:val="18"/>
                              <w:szCs w:val="18"/>
                            </w:rPr>
                            <w:t xml:space="preserve"> </w:t>
                          </w:r>
                          <w:r>
                            <w:rPr>
                              <w:color w:val="990002"/>
                              <w:w w:val="90"/>
                              <w:sz w:val="18"/>
                              <w:szCs w:val="18"/>
                            </w:rPr>
                            <w:t>2510</w:t>
                          </w:r>
                          <w:r>
                            <w:rPr>
                              <w:color w:val="990002"/>
                              <w:spacing w:val="-5"/>
                              <w:w w:val="90"/>
                              <w:sz w:val="18"/>
                              <w:szCs w:val="18"/>
                            </w:rPr>
                            <w:t xml:space="preserve"> </w:t>
                          </w:r>
                          <w:r>
                            <w:rPr>
                              <w:color w:val="990002"/>
                              <w:w w:val="90"/>
                              <w:sz w:val="18"/>
                              <w:szCs w:val="18"/>
                            </w:rPr>
                            <w:t>/</w:t>
                          </w:r>
                          <w:r>
                            <w:rPr>
                              <w:color w:val="990002"/>
                              <w:spacing w:val="-6"/>
                              <w:w w:val="90"/>
                              <w:sz w:val="18"/>
                              <w:szCs w:val="18"/>
                            </w:rPr>
                            <w:t xml:space="preserve"> </w:t>
                          </w:r>
                          <w:r>
                            <w:rPr>
                              <w:color w:val="990002"/>
                              <w:w w:val="90"/>
                              <w:sz w:val="18"/>
                              <w:szCs w:val="18"/>
                            </w:rPr>
                            <w:t>(65)</w:t>
                          </w:r>
                          <w:r>
                            <w:rPr>
                              <w:color w:val="990002"/>
                              <w:spacing w:val="-5"/>
                              <w:w w:val="90"/>
                              <w:sz w:val="18"/>
                              <w:szCs w:val="18"/>
                            </w:rPr>
                            <w:t xml:space="preserve"> </w:t>
                          </w:r>
                          <w:r>
                            <w:rPr>
                              <w:color w:val="990002"/>
                              <w:w w:val="90"/>
                              <w:sz w:val="18"/>
                              <w:szCs w:val="18"/>
                            </w:rPr>
                            <w:t>3644-2002</w:t>
                          </w:r>
                        </w:p>
                      </w:txbxContent>
                    </wps:txbx>
                    <wps:bodyPr anchor="t">
                      <a:noAutofit/>
                    </wps:bodyPr>
                  </wps:wsp>
                </a:graphicData>
              </a:graphic>
            </wp:anchor>
          </w:drawing>
        </mc:Choice>
        <mc:Fallback>
          <w:pict>
            <v:rect id="shape_0" ID="Caixa de Texto 1" path="m0,0l-2147483645,0l-2147483645,-2147483646l0,-2147483646xe" fillcolor="white" stroked="f" o:allowincell="f" style="position:absolute;margin-left:397pt;margin-top:0.45pt;width:217.75pt;height:38.2pt;mso-wrap-style:square;v-text-anchor:top;mso-position-horizontal-relative:page" wp14:anchorId="567F5F07">
              <v:fill o:detectmouseclick="t" type="solid" color2="black"/>
              <v:stroke color="#3465a4" joinstyle="round" endcap="flat"/>
              <v:textbox>
                <w:txbxContent>
                  <w:p>
                    <w:pPr>
                      <w:pStyle w:val="Contedodoquadro"/>
                      <w:jc w:val="center"/>
                      <w:rPr>
                        <w:color w:val="990002"/>
                        <w:w w:val="90"/>
                        <w:sz w:val="18"/>
                        <w:szCs w:val="18"/>
                      </w:rPr>
                    </w:pPr>
                    <w:r>
                      <w:rPr>
                        <w:color w:val="990002"/>
                        <w:spacing w:val="-1"/>
                        <w:w w:val="90"/>
                        <w:sz w:val="18"/>
                        <w:szCs w:val="18"/>
                      </w:rPr>
                      <w:t>Rua</w:t>
                    </w:r>
                    <w:r>
                      <w:rPr>
                        <w:color w:val="990002"/>
                        <w:spacing w:val="-9"/>
                        <w:w w:val="90"/>
                        <w:sz w:val="18"/>
                        <w:szCs w:val="18"/>
                      </w:rPr>
                      <w:t xml:space="preserve"> </w:t>
                    </w:r>
                    <w:r>
                      <w:rPr>
                        <w:color w:val="990002"/>
                        <w:spacing w:val="-1"/>
                        <w:w w:val="90"/>
                        <w:sz w:val="18"/>
                        <w:szCs w:val="18"/>
                      </w:rPr>
                      <w:t>5,</w:t>
                    </w:r>
                    <w:r>
                      <w:rPr>
                        <w:color w:val="990002"/>
                        <w:spacing w:val="-9"/>
                        <w:w w:val="90"/>
                        <w:sz w:val="18"/>
                        <w:szCs w:val="18"/>
                      </w:rPr>
                      <w:t xml:space="preserve"> </w:t>
                    </w:r>
                    <w:r>
                      <w:rPr>
                        <w:color w:val="990002"/>
                        <w:w w:val="90"/>
                        <w:sz w:val="18"/>
                        <w:szCs w:val="18"/>
                      </w:rPr>
                      <w:t>Quadra</w:t>
                    </w:r>
                    <w:r>
                      <w:rPr>
                        <w:color w:val="990002"/>
                        <w:spacing w:val="-9"/>
                        <w:w w:val="90"/>
                        <w:sz w:val="18"/>
                        <w:szCs w:val="18"/>
                      </w:rPr>
                      <w:t xml:space="preserve"> </w:t>
                    </w:r>
                    <w:r>
                      <w:rPr>
                        <w:color w:val="990002"/>
                        <w:w w:val="90"/>
                        <w:sz w:val="18"/>
                        <w:szCs w:val="18"/>
                      </w:rPr>
                      <w:t>12,</w:t>
                    </w:r>
                    <w:r>
                      <w:rPr>
                        <w:color w:val="990002"/>
                        <w:spacing w:val="-9"/>
                        <w:w w:val="90"/>
                        <w:sz w:val="18"/>
                        <w:szCs w:val="18"/>
                      </w:rPr>
                      <w:t xml:space="preserve"> </w:t>
                    </w:r>
                    <w:r>
                      <w:rPr>
                        <w:color w:val="990002"/>
                        <w:w w:val="90"/>
                        <w:sz w:val="18"/>
                        <w:szCs w:val="18"/>
                      </w:rPr>
                      <w:t>Lote</w:t>
                    </w:r>
                    <w:r>
                      <w:rPr>
                        <w:color w:val="990002"/>
                        <w:spacing w:val="-8"/>
                        <w:w w:val="90"/>
                        <w:sz w:val="18"/>
                        <w:szCs w:val="18"/>
                      </w:rPr>
                      <w:t xml:space="preserve"> </w:t>
                    </w:r>
                    <w:r>
                      <w:rPr>
                        <w:color w:val="990002"/>
                        <w:w w:val="90"/>
                        <w:sz w:val="18"/>
                        <w:szCs w:val="18"/>
                      </w:rPr>
                      <w:t>7,</w:t>
                    </w:r>
                    <w:r>
                      <w:rPr>
                        <w:color w:val="990002"/>
                        <w:spacing w:val="-9"/>
                        <w:w w:val="90"/>
                        <w:sz w:val="18"/>
                        <w:szCs w:val="18"/>
                      </w:rPr>
                      <w:t xml:space="preserve"> </w:t>
                    </w:r>
                    <w:r>
                      <w:rPr>
                        <w:color w:val="990002"/>
                        <w:w w:val="90"/>
                        <w:sz w:val="18"/>
                        <w:szCs w:val="18"/>
                      </w:rPr>
                      <w:t>Setor</w:t>
                    </w:r>
                    <w:r>
                      <w:rPr>
                        <w:color w:val="990002"/>
                        <w:spacing w:val="-9"/>
                        <w:w w:val="90"/>
                        <w:sz w:val="18"/>
                        <w:szCs w:val="18"/>
                      </w:rPr>
                      <w:t xml:space="preserve"> </w:t>
                    </w:r>
                    <w:r>
                      <w:rPr>
                        <w:color w:val="990002"/>
                        <w:w w:val="90"/>
                        <w:sz w:val="18"/>
                        <w:szCs w:val="18"/>
                      </w:rPr>
                      <w:t>A,</w:t>
                    </w:r>
                    <w:r>
                      <w:rPr>
                        <w:color w:val="990002"/>
                        <w:spacing w:val="-9"/>
                        <w:w w:val="90"/>
                        <w:sz w:val="18"/>
                        <w:szCs w:val="18"/>
                      </w:rPr>
                      <w:t xml:space="preserve"> </w:t>
                    </w:r>
                    <w:r>
                      <w:rPr>
                        <w:color w:val="990002"/>
                        <w:w w:val="90"/>
                        <w:sz w:val="18"/>
                        <w:szCs w:val="18"/>
                      </w:rPr>
                      <w:t>Centro</w:t>
                    </w:r>
                    <w:r>
                      <w:rPr>
                        <w:color w:val="990002"/>
                        <w:spacing w:val="-9"/>
                        <w:w w:val="90"/>
                        <w:sz w:val="18"/>
                        <w:szCs w:val="18"/>
                      </w:rPr>
                      <w:t xml:space="preserve"> </w:t>
                    </w:r>
                    <w:r>
                      <w:rPr>
                        <w:color w:val="990002"/>
                        <w:w w:val="90"/>
                        <w:sz w:val="18"/>
                        <w:szCs w:val="18"/>
                      </w:rPr>
                      <w:t>Político</w:t>
                    </w:r>
                  </w:p>
                  <w:p>
                    <w:pPr>
                      <w:pStyle w:val="Contedodoquadro"/>
                      <w:jc w:val="center"/>
                      <w:rPr>
                        <w:color w:val="990002"/>
                        <w:w w:val="90"/>
                        <w:sz w:val="18"/>
                        <w:szCs w:val="18"/>
                      </w:rPr>
                    </w:pPr>
                    <w:r>
                      <w:rPr>
                        <w:color w:val="990002"/>
                        <w:w w:val="90"/>
                        <w:sz w:val="18"/>
                        <w:szCs w:val="18"/>
                      </w:rPr>
                      <w:t>Administrativo, Cuiabá-MT CEP: 78049-035</w:t>
                    </w:r>
                  </w:p>
                  <w:p>
                    <w:pPr>
                      <w:pStyle w:val="Contedodoquadro"/>
                      <w:jc w:val="center"/>
                      <w:rPr>
                        <w:sz w:val="18"/>
                        <w:szCs w:val="18"/>
                      </w:rPr>
                    </w:pPr>
                    <w:r>
                      <w:rPr>
                        <w:color w:val="990002"/>
                        <w:w w:val="90"/>
                        <w:sz w:val="18"/>
                        <w:szCs w:val="18"/>
                      </w:rPr>
                      <w:t>Telefones:</w:t>
                    </w:r>
                    <w:r>
                      <w:rPr>
                        <w:color w:val="990002"/>
                        <w:spacing w:val="-6"/>
                        <w:w w:val="90"/>
                        <w:sz w:val="18"/>
                        <w:szCs w:val="18"/>
                      </w:rPr>
                      <w:t xml:space="preserve"> </w:t>
                    </w:r>
                    <w:r>
                      <w:rPr>
                        <w:color w:val="990002"/>
                        <w:w w:val="90"/>
                        <w:sz w:val="18"/>
                        <w:szCs w:val="18"/>
                      </w:rPr>
                      <w:t>0800</w:t>
                    </w:r>
                    <w:r>
                      <w:rPr>
                        <w:color w:val="990002"/>
                        <w:spacing w:val="-5"/>
                        <w:w w:val="90"/>
                        <w:sz w:val="18"/>
                        <w:szCs w:val="18"/>
                      </w:rPr>
                      <w:t xml:space="preserve"> </w:t>
                    </w:r>
                    <w:r>
                      <w:rPr>
                        <w:color w:val="990002"/>
                        <w:w w:val="90"/>
                        <w:sz w:val="18"/>
                        <w:szCs w:val="18"/>
                      </w:rPr>
                      <w:t>723</w:t>
                    </w:r>
                    <w:r>
                      <w:rPr>
                        <w:color w:val="990002"/>
                        <w:spacing w:val="-6"/>
                        <w:w w:val="90"/>
                        <w:sz w:val="18"/>
                        <w:szCs w:val="18"/>
                      </w:rPr>
                      <w:t xml:space="preserve"> </w:t>
                    </w:r>
                    <w:r>
                      <w:rPr>
                        <w:color w:val="990002"/>
                        <w:w w:val="90"/>
                        <w:sz w:val="18"/>
                        <w:szCs w:val="18"/>
                      </w:rPr>
                      <w:t>2510</w:t>
                    </w:r>
                    <w:r>
                      <w:rPr>
                        <w:color w:val="990002"/>
                        <w:spacing w:val="-5"/>
                        <w:w w:val="90"/>
                        <w:sz w:val="18"/>
                        <w:szCs w:val="18"/>
                      </w:rPr>
                      <w:t xml:space="preserve"> </w:t>
                    </w:r>
                    <w:r>
                      <w:rPr>
                        <w:color w:val="990002"/>
                        <w:w w:val="90"/>
                        <w:sz w:val="18"/>
                        <w:szCs w:val="18"/>
                      </w:rPr>
                      <w:t>/</w:t>
                    </w:r>
                    <w:r>
                      <w:rPr>
                        <w:color w:val="990002"/>
                        <w:spacing w:val="-6"/>
                        <w:w w:val="90"/>
                        <w:sz w:val="18"/>
                        <w:szCs w:val="18"/>
                      </w:rPr>
                      <w:t xml:space="preserve"> </w:t>
                    </w:r>
                    <w:r>
                      <w:rPr>
                        <w:color w:val="990002"/>
                        <w:w w:val="90"/>
                        <w:sz w:val="18"/>
                        <w:szCs w:val="18"/>
                      </w:rPr>
                      <w:t>(65)</w:t>
                    </w:r>
                    <w:r>
                      <w:rPr>
                        <w:color w:val="990002"/>
                        <w:spacing w:val="-5"/>
                        <w:w w:val="90"/>
                        <w:sz w:val="18"/>
                        <w:szCs w:val="18"/>
                      </w:rPr>
                      <w:t xml:space="preserve"> </w:t>
                    </w:r>
                    <w:r>
                      <w:rPr>
                        <w:color w:val="990002"/>
                        <w:w w:val="90"/>
                        <w:sz w:val="18"/>
                        <w:szCs w:val="18"/>
                      </w:rPr>
                      <w:t>3644-2002</w:t>
                    </w:r>
                  </w:p>
                </w:txbxContent>
              </v:textbox>
              <w10:wrap type="none"/>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g">
          <w:drawing>
            <wp:anchor behindDoc="1" distT="0" distB="0" distL="0" distR="0" simplePos="0" locked="0" layoutInCell="0" allowOverlap="1" relativeHeight="220" wp14:anchorId="3EBB64EB">
              <wp:simplePos x="0" y="0"/>
              <wp:positionH relativeFrom="page">
                <wp:posOffset>-46990</wp:posOffset>
              </wp:positionH>
              <wp:positionV relativeFrom="page">
                <wp:posOffset>-3175</wp:posOffset>
              </wp:positionV>
              <wp:extent cx="7560310" cy="1035685"/>
              <wp:effectExtent l="0" t="0" r="0" b="0"/>
              <wp:wrapNone/>
              <wp:docPr id="1" name="Agrupar 2"/>
              <a:graphic xmlns:a="http://schemas.openxmlformats.org/drawingml/2006/main">
                <a:graphicData uri="http://schemas.microsoft.com/office/word/2010/wordprocessingGroup">
                  <wpg:wgp>
                    <wpg:cNvGrpSpPr/>
                    <wpg:grpSpPr>
                      <a:xfrm>
                        <a:off x="0" y="0"/>
                        <a:ext cx="7560360" cy="1035720"/>
                        <a:chOff x="0" y="0"/>
                        <a:chExt cx="7560360" cy="1035720"/>
                      </a:xfrm>
                    </wpg:grpSpPr>
                    <pic:pic xmlns:pic="http://schemas.openxmlformats.org/drawingml/2006/picture">
                      <pic:nvPicPr>
                        <pic:cNvPr id="2" name="Picture 2" descr=""/>
                        <pic:cNvPicPr/>
                      </pic:nvPicPr>
                      <pic:blipFill>
                        <a:blip r:embed="rId1"/>
                        <a:stretch/>
                      </pic:blipFill>
                      <pic:spPr>
                        <a:xfrm>
                          <a:off x="0" y="0"/>
                          <a:ext cx="7560360" cy="1035720"/>
                        </a:xfrm>
                        <a:prstGeom prst="rect">
                          <a:avLst/>
                        </a:prstGeom>
                        <a:ln w="0">
                          <a:noFill/>
                        </a:ln>
                      </pic:spPr>
                    </pic:pic>
                    <pic:pic xmlns:pic="http://schemas.openxmlformats.org/drawingml/2006/picture">
                      <pic:nvPicPr>
                        <pic:cNvPr id="3" name="Picture 3" descr=""/>
                        <pic:cNvPicPr/>
                      </pic:nvPicPr>
                      <pic:blipFill>
                        <a:blip r:embed="rId2"/>
                        <a:stretch/>
                      </pic:blipFill>
                      <pic:spPr>
                        <a:xfrm>
                          <a:off x="1583640" y="415440"/>
                          <a:ext cx="773280" cy="332280"/>
                        </a:xfrm>
                        <a:prstGeom prst="rect">
                          <a:avLst/>
                        </a:prstGeom>
                        <a:ln w="0">
                          <a:noFill/>
                        </a:ln>
                      </pic:spPr>
                    </pic:pic>
                    <pic:pic xmlns:pic="http://schemas.openxmlformats.org/drawingml/2006/picture">
                      <pic:nvPicPr>
                        <pic:cNvPr id="4" name="Picture 4" descr=""/>
                        <pic:cNvPicPr/>
                      </pic:nvPicPr>
                      <pic:blipFill>
                        <a:blip r:embed="rId3"/>
                        <a:stretch/>
                      </pic:blipFill>
                      <pic:spPr>
                        <a:xfrm>
                          <a:off x="2411640" y="415440"/>
                          <a:ext cx="494640" cy="269280"/>
                        </a:xfrm>
                        <a:prstGeom prst="rect">
                          <a:avLst/>
                        </a:prstGeom>
                        <a:ln w="0">
                          <a:noFill/>
                        </a:ln>
                      </pic:spPr>
                    </pic:pic>
                  </wpg:wgp>
                </a:graphicData>
              </a:graphic>
            </wp:anchor>
          </w:drawing>
        </mc:Choice>
        <mc:Fallback>
          <w:pict>
            <v:group id="shape_0" alt="Agrupar 2" style="position:absolute;margin-left:-3.7pt;margin-top:-0.25pt;width:595.3pt;height:81.55pt" coordorigin="-74,-5" coordsize="11906,1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Picture 2" stroked="f" o:allowincell="f" style="position:absolute;left:-74;top:-5;width:11905;height:1630;mso-wrap-style:none;v-text-anchor:middle;mso-position-horizontal-relative:page;mso-position-vertical-relative:page" type="_x0000_t75">
                <v:imagedata r:id="rId4" o:detectmouseclick="t"/>
                <v:stroke color="#3465a4" joinstyle="round" endcap="flat"/>
                <w10:wrap type="none"/>
              </v:shape>
              <v:shape id="shape_0" ID="Picture 3" stroked="f" o:allowincell="f" style="position:absolute;left:2420;top:649;width:1217;height:522;mso-wrap-style:none;v-text-anchor:middle;mso-position-horizontal-relative:page;mso-position-vertical-relative:page" type="_x0000_t75">
                <v:imagedata r:id="rId5" o:detectmouseclick="t"/>
                <v:stroke color="#3465a4" joinstyle="round" endcap="flat"/>
                <w10:wrap type="none"/>
              </v:shape>
              <v:shape id="shape_0" ID="Picture 4" stroked="f" o:allowincell="f" style="position:absolute;left:3724;top:649;width:778;height:423;mso-wrap-style:none;v-text-anchor:middle;mso-position-horizontal-relative:page;mso-position-vertical-relative:page" type="_x0000_t75">
                <v:imagedata r:id="rId6" o:detectmouseclick="t"/>
                <v:stroke color="#3465a4" joinstyle="round" endcap="flat"/>
                <w10:wrap type="none"/>
              </v:shape>
            </v:group>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5"/>
      <w:numFmt w:val="decimal"/>
      <w:lvlText w:val="%1"/>
      <w:lvlJc w:val="left"/>
      <w:pPr>
        <w:tabs>
          <w:tab w:val="num" w:pos="0"/>
        </w:tabs>
        <w:ind w:left="480" w:hanging="480"/>
      </w:pPr>
      <w:rPr/>
    </w:lvl>
    <w:lvl w:ilvl="1">
      <w:start w:val="1"/>
      <w:numFmt w:val="decimal"/>
      <w:lvlText w:val="%1.%2"/>
      <w:lvlJc w:val="left"/>
      <w:pPr>
        <w:tabs>
          <w:tab w:val="num" w:pos="0"/>
        </w:tabs>
        <w:ind w:left="480" w:hanging="48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suff w:val="nothing"/>
      <w:lvlText w:val="%1."/>
      <w:lvlJc w:val="left"/>
      <w:pPr>
        <w:tabs>
          <w:tab w:val="num" w:pos="0"/>
        </w:tabs>
        <w:ind w:left="0" w:hanging="0"/>
      </w:pPr>
      <w:rPr>
        <w:rFonts w:cs="Times New Roman"/>
      </w:rPr>
    </w:lvl>
    <w:lvl w:ilvl="1">
      <w:start w:val="1"/>
      <w:numFmt w:val="decimal"/>
      <w:lvlText w:val="%1.%2."/>
      <w:lvlJc w:val="left"/>
      <w:pPr>
        <w:tabs>
          <w:tab w:val="num" w:pos="1134"/>
        </w:tabs>
        <w:ind w:left="1134" w:hanging="1134"/>
      </w:pPr>
      <w:rPr>
        <w:sz w:val="24"/>
        <w:i w:val="false"/>
        <w:b/>
        <w:rFonts w:ascii="Times New Roman" w:hAnsi="Times New Roman" w:cs="Times New Roman"/>
      </w:rPr>
    </w:lvl>
    <w:lvl w:ilvl="2">
      <w:start w:val="1"/>
      <w:numFmt w:val="decimal"/>
      <w:lvlText w:val="%1.%2.%3."/>
      <w:lvlJc w:val="left"/>
      <w:pPr>
        <w:tabs>
          <w:tab w:val="num" w:pos="1854"/>
        </w:tabs>
        <w:ind w:left="1134" w:hanging="0"/>
      </w:pPr>
      <w:rPr>
        <w:i w:val="false"/>
        <w:b/>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
    <w:lvl w:ilvl="0">
      <w:start w:val="1"/>
      <w:numFmt w:val="decimal"/>
      <w:suff w:val="nothing"/>
      <w:lvlText w:val="%1."/>
      <w:lvlJc w:val="left"/>
      <w:pPr>
        <w:tabs>
          <w:tab w:val="num" w:pos="0"/>
        </w:tabs>
        <w:ind w:left="0" w:hanging="0"/>
      </w:pPr>
      <w:rPr>
        <w:i w:val="false"/>
        <w:b/>
        <w:rFonts w:cs="Times New Roman"/>
      </w:rPr>
    </w:lvl>
    <w:lvl w:ilvl="1">
      <w:start w:val="1"/>
      <w:numFmt w:val="decimal"/>
      <w:lvlText w:val="%1.%2."/>
      <w:lvlJc w:val="left"/>
      <w:pPr>
        <w:tabs>
          <w:tab w:val="num" w:pos="360"/>
        </w:tabs>
        <w:ind w:left="0" w:hanging="0"/>
      </w:pPr>
      <w:rPr>
        <w:sz w:val="24"/>
        <w:i w:val="false"/>
        <w:b/>
        <w:rFonts w:ascii="Times New Roman" w:hAnsi="Times New Roman" w:cs="Times New Roman"/>
      </w:rPr>
    </w:lvl>
    <w:lvl w:ilvl="2">
      <w:start w:val="1"/>
      <w:numFmt w:val="decimal"/>
      <w:lvlText w:val="%1.%2.%3."/>
      <w:lvlJc w:val="left"/>
      <w:pPr>
        <w:tabs>
          <w:tab w:val="num" w:pos="1854"/>
        </w:tabs>
        <w:ind w:left="1134" w:hanging="0"/>
      </w:pPr>
      <w:rPr>
        <w:i w:val="false"/>
        <w:b/>
        <w:rFonts w:cs="Times New Roman"/>
      </w:rPr>
    </w:lvl>
    <w:lvl w:ilvl="3">
      <w:start w:val="1"/>
      <w:numFmt w:val="decimal"/>
      <w:lvlText w:val="%1.%2.%3.%4."/>
      <w:lvlJc w:val="left"/>
      <w:pPr>
        <w:tabs>
          <w:tab w:val="num" w:pos="2138"/>
        </w:tabs>
        <w:ind w:left="1418" w:hanging="0"/>
      </w:pPr>
      <w:rPr>
        <w:i w:val="false"/>
        <w:b/>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
    <w:lvl w:ilvl="0">
      <w:start w:val="2"/>
      <w:numFmt w:val="decimal"/>
      <w:lvlText w:val="%1."/>
      <w:lvlJc w:val="left"/>
      <w:pPr>
        <w:tabs>
          <w:tab w:val="num" w:pos="705"/>
        </w:tabs>
        <w:ind w:left="705" w:hanging="705"/>
      </w:pPr>
      <w:rPr>
        <w:sz w:val="24"/>
        <w:i w:val="false"/>
        <w:b/>
        <w:rFonts w:ascii="Times New Roman" w:hAnsi="Times New Roman" w:cs="Times New Roman"/>
        <w:color w:val="auto"/>
      </w:rPr>
    </w:lvl>
    <w:lvl w:ilvl="1">
      <w:start w:val="1"/>
      <w:numFmt w:val="decimal"/>
      <w:lvlText w:val="%1.%2."/>
      <w:lvlJc w:val="left"/>
      <w:pPr>
        <w:tabs>
          <w:tab w:val="num" w:pos="4537"/>
        </w:tabs>
        <w:ind w:left="4537" w:hanging="567"/>
      </w:pPr>
      <w:rPr>
        <w:sz w:val="24"/>
        <w:i w:val="false"/>
        <w:b/>
        <w:rFonts w:ascii="Arial" w:hAnsi="Arial" w:cs="Arial"/>
        <w:color w:val="auto"/>
      </w:rPr>
    </w:lvl>
    <w:lvl w:ilvl="2">
      <w:start w:val="1"/>
      <w:numFmt w:val="decimal"/>
      <w:lvlText w:val="%1.%2.%3."/>
      <w:lvlJc w:val="left"/>
      <w:pPr>
        <w:tabs>
          <w:tab w:val="num" w:pos="3612"/>
        </w:tabs>
        <w:ind w:left="3612" w:hanging="720"/>
      </w:pPr>
      <w:rPr>
        <w:sz w:val="24"/>
        <w:i w:val="false"/>
        <w:b/>
        <w:rFonts w:ascii="Arial" w:hAnsi="Arial" w:cs="Arial"/>
        <w:color w:val="auto"/>
      </w:rPr>
    </w:lvl>
    <w:lvl w:ilvl="3">
      <w:start w:val="1"/>
      <w:numFmt w:val="decimal"/>
      <w:lvlText w:val="%1.%2-%3.%4."/>
      <w:lvlJc w:val="left"/>
      <w:pPr>
        <w:tabs>
          <w:tab w:val="num" w:pos="5418"/>
        </w:tabs>
        <w:ind w:left="5418" w:hanging="1080"/>
      </w:pPr>
      <w:rPr>
        <w:b/>
        <w:rFonts w:cs="Times New Roman"/>
      </w:rPr>
    </w:lvl>
    <w:lvl w:ilvl="4">
      <w:start w:val="1"/>
      <w:numFmt w:val="decimal"/>
      <w:lvlText w:val="%1.%2-%3.%4.%5."/>
      <w:lvlJc w:val="left"/>
      <w:pPr>
        <w:tabs>
          <w:tab w:val="num" w:pos="6864"/>
        </w:tabs>
        <w:ind w:left="6864" w:hanging="1080"/>
      </w:pPr>
      <w:rPr>
        <w:b/>
        <w:rFonts w:cs="Times New Roman"/>
      </w:rPr>
    </w:lvl>
    <w:lvl w:ilvl="5">
      <w:start w:val="1"/>
      <w:numFmt w:val="decimal"/>
      <w:lvlText w:val="%1.%2-%3.%4.%5.%6."/>
      <w:lvlJc w:val="left"/>
      <w:pPr>
        <w:tabs>
          <w:tab w:val="num" w:pos="8670"/>
        </w:tabs>
        <w:ind w:left="8670" w:hanging="1440"/>
      </w:pPr>
      <w:rPr>
        <w:b/>
        <w:rFonts w:cs="Times New Roman"/>
      </w:rPr>
    </w:lvl>
    <w:lvl w:ilvl="6">
      <w:start w:val="1"/>
      <w:numFmt w:val="decimal"/>
      <w:lvlText w:val="%1.%2-%3.%4.%5.%6.%7."/>
      <w:lvlJc w:val="left"/>
      <w:pPr>
        <w:tabs>
          <w:tab w:val="num" w:pos="10116"/>
        </w:tabs>
        <w:ind w:left="10116" w:hanging="1440"/>
      </w:pPr>
      <w:rPr>
        <w:b/>
        <w:rFonts w:cs="Times New Roman"/>
      </w:rPr>
    </w:lvl>
    <w:lvl w:ilvl="7">
      <w:start w:val="1"/>
      <w:numFmt w:val="decimal"/>
      <w:lvlText w:val="%1.%2-%3.%4.%5.%6.%7.%8."/>
      <w:lvlJc w:val="left"/>
      <w:pPr>
        <w:tabs>
          <w:tab w:val="num" w:pos="11922"/>
        </w:tabs>
        <w:ind w:left="11922" w:hanging="1800"/>
      </w:pPr>
      <w:rPr>
        <w:b/>
        <w:rFonts w:cs="Times New Roman"/>
      </w:rPr>
    </w:lvl>
    <w:lvl w:ilvl="8">
      <w:start w:val="1"/>
      <w:numFmt w:val="decimal"/>
      <w:lvlText w:val="%1.%2-%3.%4.%5.%6.%7.%8.%9."/>
      <w:lvlJc w:val="left"/>
      <w:pPr>
        <w:tabs>
          <w:tab w:val="num" w:pos="13368"/>
        </w:tabs>
        <w:ind w:left="13368" w:hanging="1800"/>
      </w:pPr>
      <w:rPr>
        <w:b/>
        <w:rFonts w:cs="Times New Roman"/>
      </w:rPr>
    </w:lvl>
  </w:abstractNum>
  <w:abstractNum w:abstractNumId="5">
    <w:lvl w:ilvl="0">
      <w:start w:val="3"/>
      <w:numFmt w:val="decimal"/>
      <w:lvlText w:val="%1."/>
      <w:lvlJc w:val="left"/>
      <w:pPr>
        <w:tabs>
          <w:tab w:val="num" w:pos="847"/>
        </w:tabs>
        <w:ind w:left="847" w:hanging="705"/>
      </w:pPr>
      <w:rPr>
        <w:sz w:val="24"/>
        <w:i w:val="false"/>
        <w:b/>
        <w:rFonts w:ascii="Arial" w:hAnsi="Arial" w:cs="Arial"/>
        <w:color w:val="auto"/>
      </w:rPr>
    </w:lvl>
    <w:lvl w:ilvl="1">
      <w:start w:val="8"/>
      <w:numFmt w:val="decimal"/>
      <w:lvlText w:val="%1.%2."/>
      <w:lvlJc w:val="left"/>
      <w:pPr>
        <w:tabs>
          <w:tab w:val="num" w:pos="4537"/>
        </w:tabs>
        <w:ind w:left="4537" w:hanging="567"/>
      </w:pPr>
      <w:rPr>
        <w:sz w:val="24"/>
        <w:i w:val="false"/>
        <w:b/>
        <w:rFonts w:ascii="Times New Roman" w:hAnsi="Times New Roman" w:cs="Times New Roman"/>
        <w:color w:val="auto"/>
      </w:rPr>
    </w:lvl>
    <w:lvl w:ilvl="2">
      <w:start w:val="1"/>
      <w:numFmt w:val="decimal"/>
      <w:lvlText w:val="%1.%2.%3."/>
      <w:lvlJc w:val="left"/>
      <w:pPr>
        <w:tabs>
          <w:tab w:val="num" w:pos="3612"/>
        </w:tabs>
        <w:ind w:left="3612" w:hanging="720"/>
      </w:pPr>
      <w:rPr>
        <w:sz w:val="24"/>
        <w:i w:val="false"/>
        <w:b/>
        <w:rFonts w:ascii="Times New Roman" w:hAnsi="Times New Roman" w:cs="Times New Roman"/>
        <w:color w:val="auto"/>
      </w:rPr>
    </w:lvl>
    <w:lvl w:ilvl="3">
      <w:start w:val="1"/>
      <w:numFmt w:val="decimal"/>
      <w:lvlText w:val="%1.%2-%3.%4."/>
      <w:lvlJc w:val="left"/>
      <w:pPr>
        <w:tabs>
          <w:tab w:val="num" w:pos="5418"/>
        </w:tabs>
        <w:ind w:left="5418" w:hanging="1080"/>
      </w:pPr>
      <w:rPr>
        <w:b/>
        <w:rFonts w:cs="Times New Roman"/>
      </w:rPr>
    </w:lvl>
    <w:lvl w:ilvl="4">
      <w:start w:val="1"/>
      <w:numFmt w:val="decimal"/>
      <w:lvlText w:val="%1.%2-%3.%4.%5."/>
      <w:lvlJc w:val="left"/>
      <w:pPr>
        <w:tabs>
          <w:tab w:val="num" w:pos="6864"/>
        </w:tabs>
        <w:ind w:left="6864" w:hanging="1080"/>
      </w:pPr>
      <w:rPr>
        <w:b/>
        <w:rFonts w:cs="Times New Roman"/>
      </w:rPr>
    </w:lvl>
    <w:lvl w:ilvl="5">
      <w:start w:val="1"/>
      <w:numFmt w:val="decimal"/>
      <w:lvlText w:val="%1.%2-%3.%4.%5.%6."/>
      <w:lvlJc w:val="left"/>
      <w:pPr>
        <w:tabs>
          <w:tab w:val="num" w:pos="8670"/>
        </w:tabs>
        <w:ind w:left="8670" w:hanging="1440"/>
      </w:pPr>
      <w:rPr>
        <w:b/>
        <w:rFonts w:cs="Times New Roman"/>
      </w:rPr>
    </w:lvl>
    <w:lvl w:ilvl="6">
      <w:start w:val="1"/>
      <w:numFmt w:val="decimal"/>
      <w:lvlText w:val="%1.%2-%3.%4.%5.%6.%7."/>
      <w:lvlJc w:val="left"/>
      <w:pPr>
        <w:tabs>
          <w:tab w:val="num" w:pos="10116"/>
        </w:tabs>
        <w:ind w:left="10116" w:hanging="1440"/>
      </w:pPr>
      <w:rPr>
        <w:b/>
        <w:rFonts w:cs="Times New Roman"/>
      </w:rPr>
    </w:lvl>
    <w:lvl w:ilvl="7">
      <w:start w:val="1"/>
      <w:numFmt w:val="decimal"/>
      <w:lvlText w:val="%1.%2-%3.%4.%5.%6.%7.%8."/>
      <w:lvlJc w:val="left"/>
      <w:pPr>
        <w:tabs>
          <w:tab w:val="num" w:pos="11922"/>
        </w:tabs>
        <w:ind w:left="11922" w:hanging="1800"/>
      </w:pPr>
      <w:rPr>
        <w:b/>
        <w:rFonts w:cs="Times New Roman"/>
      </w:rPr>
    </w:lvl>
    <w:lvl w:ilvl="8">
      <w:start w:val="1"/>
      <w:numFmt w:val="decimal"/>
      <w:lvlText w:val="%1.%2-%3.%4.%5.%6.%7.%8.%9."/>
      <w:lvlJc w:val="left"/>
      <w:pPr>
        <w:tabs>
          <w:tab w:val="num" w:pos="13368"/>
        </w:tabs>
        <w:ind w:left="13368" w:hanging="1800"/>
      </w:pPr>
      <w:rPr>
        <w:b/>
        <w:rFonts w:cs="Times New Roman"/>
      </w:rPr>
    </w:lvl>
  </w:abstractNum>
  <w:abstractNum w:abstractNumId="6">
    <w:lvl w:ilvl="0">
      <w:start w:val="4"/>
      <w:numFmt w:val="decimal"/>
      <w:lvlText w:val="%1."/>
      <w:lvlJc w:val="left"/>
      <w:pPr>
        <w:tabs>
          <w:tab w:val="num" w:pos="705"/>
        </w:tabs>
        <w:ind w:left="705" w:hanging="705"/>
      </w:pPr>
      <w:rPr>
        <w:sz w:val="24"/>
        <w:i w:val="false"/>
        <w:b/>
        <w:rFonts w:ascii="Times New Roman" w:hAnsi="Times New Roman" w:cs="Times New Roman"/>
        <w:color w:val="auto"/>
      </w:rPr>
    </w:lvl>
    <w:lvl w:ilvl="1">
      <w:start w:val="6"/>
      <w:numFmt w:val="decimal"/>
      <w:lvlText w:val="%1.%2."/>
      <w:lvlJc w:val="left"/>
      <w:pPr>
        <w:tabs>
          <w:tab w:val="num" w:pos="4537"/>
        </w:tabs>
        <w:ind w:left="4537" w:hanging="567"/>
      </w:pPr>
      <w:rPr>
        <w:sz w:val="24"/>
        <w:i w:val="false"/>
        <w:b/>
        <w:rFonts w:ascii="Arial" w:hAnsi="Arial" w:cs="Arial"/>
        <w:color w:val="auto"/>
      </w:rPr>
    </w:lvl>
    <w:lvl w:ilvl="2">
      <w:start w:val="1"/>
      <w:numFmt w:val="decimal"/>
      <w:lvlText w:val="%1.%2.%3."/>
      <w:lvlJc w:val="left"/>
      <w:pPr>
        <w:tabs>
          <w:tab w:val="num" w:pos="3612"/>
        </w:tabs>
        <w:ind w:left="3612" w:hanging="720"/>
      </w:pPr>
      <w:rPr>
        <w:sz w:val="24"/>
        <w:i w:val="false"/>
        <w:b/>
        <w:rFonts w:ascii="Arial" w:hAnsi="Arial" w:cs="Arial"/>
        <w:color w:val="auto"/>
      </w:rPr>
    </w:lvl>
    <w:lvl w:ilvl="3">
      <w:start w:val="1"/>
      <w:numFmt w:val="decimal"/>
      <w:lvlText w:val="%1.%2-%3.%4."/>
      <w:lvlJc w:val="left"/>
      <w:pPr>
        <w:tabs>
          <w:tab w:val="num" w:pos="5418"/>
        </w:tabs>
        <w:ind w:left="5418" w:hanging="1080"/>
      </w:pPr>
      <w:rPr>
        <w:b/>
        <w:rFonts w:cs="Times New Roman"/>
      </w:rPr>
    </w:lvl>
    <w:lvl w:ilvl="4">
      <w:start w:val="1"/>
      <w:numFmt w:val="decimal"/>
      <w:lvlText w:val="%1.%2-%3.%4.%5."/>
      <w:lvlJc w:val="left"/>
      <w:pPr>
        <w:tabs>
          <w:tab w:val="num" w:pos="6864"/>
        </w:tabs>
        <w:ind w:left="6864" w:hanging="1080"/>
      </w:pPr>
      <w:rPr>
        <w:b/>
        <w:rFonts w:cs="Times New Roman"/>
      </w:rPr>
    </w:lvl>
    <w:lvl w:ilvl="5">
      <w:start w:val="1"/>
      <w:numFmt w:val="decimal"/>
      <w:lvlText w:val="%1.%2-%3.%4.%5.%6."/>
      <w:lvlJc w:val="left"/>
      <w:pPr>
        <w:tabs>
          <w:tab w:val="num" w:pos="8670"/>
        </w:tabs>
        <w:ind w:left="8670" w:hanging="1440"/>
      </w:pPr>
      <w:rPr>
        <w:b/>
        <w:rFonts w:cs="Times New Roman"/>
      </w:rPr>
    </w:lvl>
    <w:lvl w:ilvl="6">
      <w:start w:val="1"/>
      <w:numFmt w:val="decimal"/>
      <w:lvlText w:val="%1.%2-%3.%4.%5.%6.%7."/>
      <w:lvlJc w:val="left"/>
      <w:pPr>
        <w:tabs>
          <w:tab w:val="num" w:pos="10116"/>
        </w:tabs>
        <w:ind w:left="10116" w:hanging="1440"/>
      </w:pPr>
      <w:rPr>
        <w:b/>
        <w:rFonts w:cs="Times New Roman"/>
      </w:rPr>
    </w:lvl>
    <w:lvl w:ilvl="7">
      <w:start w:val="1"/>
      <w:numFmt w:val="decimal"/>
      <w:lvlText w:val="%1.%2-%3.%4.%5.%6.%7.%8."/>
      <w:lvlJc w:val="left"/>
      <w:pPr>
        <w:tabs>
          <w:tab w:val="num" w:pos="11922"/>
        </w:tabs>
        <w:ind w:left="11922" w:hanging="1800"/>
      </w:pPr>
      <w:rPr>
        <w:b/>
        <w:rFonts w:cs="Times New Roman"/>
      </w:rPr>
    </w:lvl>
    <w:lvl w:ilvl="8">
      <w:start w:val="1"/>
      <w:numFmt w:val="decimal"/>
      <w:lvlText w:val="%1.%2-%3.%4.%5.%6.%7.%8.%9."/>
      <w:lvlJc w:val="left"/>
      <w:pPr>
        <w:tabs>
          <w:tab w:val="num" w:pos="13368"/>
        </w:tabs>
        <w:ind w:left="13368" w:hanging="1800"/>
      </w:pPr>
      <w:rPr>
        <w:b/>
        <w:rFonts w:cs="Times New Roman"/>
      </w:rPr>
    </w:lvl>
  </w:abstractNum>
  <w:abstractNum w:abstractNumId="7">
    <w:lvl w:ilvl="0">
      <w:start w:val="4"/>
      <w:numFmt w:val="decimal"/>
      <w:lvlText w:val="%1."/>
      <w:lvlJc w:val="left"/>
      <w:pPr>
        <w:tabs>
          <w:tab w:val="num" w:pos="705"/>
        </w:tabs>
        <w:ind w:left="705" w:hanging="705"/>
      </w:pPr>
      <w:rPr>
        <w:sz w:val="24"/>
        <w:i w:val="false"/>
        <w:b/>
        <w:rFonts w:ascii="Arial" w:hAnsi="Arial" w:cs="Arial"/>
        <w:color w:val="auto"/>
      </w:rPr>
    </w:lvl>
    <w:lvl w:ilvl="1">
      <w:start w:val="1"/>
      <w:numFmt w:val="decimal"/>
      <w:lvlText w:val="%1.%2."/>
      <w:lvlJc w:val="left"/>
      <w:pPr>
        <w:tabs>
          <w:tab w:val="num" w:pos="4537"/>
        </w:tabs>
        <w:ind w:left="4537" w:hanging="567"/>
      </w:pPr>
      <w:rPr>
        <w:sz w:val="24"/>
        <w:i w:val="false"/>
        <w:b/>
        <w:rFonts w:ascii="Times New Roman" w:hAnsi="Times New Roman" w:cs="Times New Roman"/>
        <w:color w:val="auto"/>
      </w:rPr>
    </w:lvl>
    <w:lvl w:ilvl="2">
      <w:start w:val="1"/>
      <w:numFmt w:val="decimal"/>
      <w:lvlText w:val="%1.%2.%3."/>
      <w:lvlJc w:val="left"/>
      <w:pPr>
        <w:tabs>
          <w:tab w:val="num" w:pos="3612"/>
        </w:tabs>
        <w:ind w:left="3612" w:hanging="720"/>
      </w:pPr>
      <w:rPr>
        <w:sz w:val="24"/>
        <w:i w:val="false"/>
        <w:b/>
        <w:rFonts w:ascii="Arial" w:hAnsi="Arial" w:cs="Arial"/>
        <w:color w:val="auto"/>
      </w:rPr>
    </w:lvl>
    <w:lvl w:ilvl="3">
      <w:start w:val="1"/>
      <w:numFmt w:val="decimal"/>
      <w:lvlText w:val="%1.%2-%3.%4."/>
      <w:lvlJc w:val="left"/>
      <w:pPr>
        <w:tabs>
          <w:tab w:val="num" w:pos="5418"/>
        </w:tabs>
        <w:ind w:left="5418" w:hanging="1080"/>
      </w:pPr>
      <w:rPr>
        <w:b/>
        <w:rFonts w:cs="Times New Roman"/>
      </w:rPr>
    </w:lvl>
    <w:lvl w:ilvl="4">
      <w:start w:val="1"/>
      <w:numFmt w:val="decimal"/>
      <w:lvlText w:val="%1.%2-%3.%4.%5."/>
      <w:lvlJc w:val="left"/>
      <w:pPr>
        <w:tabs>
          <w:tab w:val="num" w:pos="6864"/>
        </w:tabs>
        <w:ind w:left="6864" w:hanging="1080"/>
      </w:pPr>
      <w:rPr>
        <w:b/>
        <w:rFonts w:cs="Times New Roman"/>
      </w:rPr>
    </w:lvl>
    <w:lvl w:ilvl="5">
      <w:start w:val="1"/>
      <w:numFmt w:val="decimal"/>
      <w:lvlText w:val="%1.%2-%3.%4.%5.%6."/>
      <w:lvlJc w:val="left"/>
      <w:pPr>
        <w:tabs>
          <w:tab w:val="num" w:pos="8670"/>
        </w:tabs>
        <w:ind w:left="8670" w:hanging="1440"/>
      </w:pPr>
      <w:rPr>
        <w:b/>
        <w:rFonts w:cs="Times New Roman"/>
      </w:rPr>
    </w:lvl>
    <w:lvl w:ilvl="6">
      <w:start w:val="1"/>
      <w:numFmt w:val="decimal"/>
      <w:lvlText w:val="%1.%2-%3.%4.%5.%6.%7."/>
      <w:lvlJc w:val="left"/>
      <w:pPr>
        <w:tabs>
          <w:tab w:val="num" w:pos="10116"/>
        </w:tabs>
        <w:ind w:left="10116" w:hanging="1440"/>
      </w:pPr>
      <w:rPr>
        <w:b/>
        <w:rFonts w:cs="Times New Roman"/>
      </w:rPr>
    </w:lvl>
    <w:lvl w:ilvl="7">
      <w:start w:val="1"/>
      <w:numFmt w:val="decimal"/>
      <w:lvlText w:val="%1.%2-%3.%4.%5.%6.%7.%8."/>
      <w:lvlJc w:val="left"/>
      <w:pPr>
        <w:tabs>
          <w:tab w:val="num" w:pos="11922"/>
        </w:tabs>
        <w:ind w:left="11922" w:hanging="1800"/>
      </w:pPr>
      <w:rPr>
        <w:b/>
        <w:rFonts w:cs="Times New Roman"/>
      </w:rPr>
    </w:lvl>
    <w:lvl w:ilvl="8">
      <w:start w:val="1"/>
      <w:numFmt w:val="decimal"/>
      <w:lvlText w:val="%1.%2-%3.%4.%5.%6.%7.%8.%9."/>
      <w:lvlJc w:val="left"/>
      <w:pPr>
        <w:tabs>
          <w:tab w:val="num" w:pos="13368"/>
        </w:tabs>
        <w:ind w:left="13368" w:hanging="1800"/>
      </w:pPr>
      <w:rPr>
        <w:b/>
        <w:rFonts w:cs="Times New Roman"/>
      </w:rPr>
    </w:lvl>
  </w:abstractNum>
  <w:abstractNum w:abstractNumId="8">
    <w:lvl w:ilvl="0">
      <w:start w:val="4"/>
      <w:numFmt w:val="decimal"/>
      <w:lvlText w:val="%1.1"/>
      <w:lvlJc w:val="left"/>
      <w:pPr>
        <w:tabs>
          <w:tab w:val="num" w:pos="847"/>
        </w:tabs>
        <w:ind w:left="847" w:hanging="705"/>
      </w:pPr>
      <w:rPr>
        <w:sz w:val="24"/>
        <w:i w:val="false"/>
        <w:b/>
        <w:rFonts w:cs="Times New Roman"/>
        <w:color w:val="auto"/>
      </w:rPr>
    </w:lvl>
    <w:lvl w:ilvl="1">
      <w:start w:val="7"/>
      <w:numFmt w:val="decimal"/>
      <w:lvlText w:val="%1.%2."/>
      <w:lvlJc w:val="left"/>
      <w:pPr>
        <w:tabs>
          <w:tab w:val="num" w:pos="4679"/>
        </w:tabs>
        <w:ind w:left="4679" w:hanging="567"/>
      </w:pPr>
      <w:rPr>
        <w:sz w:val="24"/>
        <w:i w:val="false"/>
        <w:b/>
        <w:rFonts w:ascii="Times New Roman" w:hAnsi="Times New Roman" w:cs="Times New Roman"/>
        <w:color w:val="auto"/>
      </w:rPr>
    </w:lvl>
    <w:lvl w:ilvl="2">
      <w:start w:val="1"/>
      <w:numFmt w:val="decimal"/>
      <w:lvlText w:val="%1.%2.%3."/>
      <w:lvlJc w:val="left"/>
      <w:pPr>
        <w:tabs>
          <w:tab w:val="num" w:pos="3754"/>
        </w:tabs>
        <w:ind w:left="3754" w:hanging="720"/>
      </w:pPr>
      <w:rPr>
        <w:sz w:val="24"/>
        <w:i w:val="false"/>
        <w:b/>
        <w:rFonts w:ascii="Arial" w:hAnsi="Arial" w:cs="Arial"/>
        <w:color w:val="auto"/>
      </w:rPr>
    </w:lvl>
    <w:lvl w:ilvl="3">
      <w:start w:val="1"/>
      <w:numFmt w:val="decimal"/>
      <w:lvlText w:val="%1.%2-%3.%4."/>
      <w:lvlJc w:val="left"/>
      <w:pPr>
        <w:tabs>
          <w:tab w:val="num" w:pos="5560"/>
        </w:tabs>
        <w:ind w:left="5560" w:hanging="1080"/>
      </w:pPr>
      <w:rPr>
        <w:b/>
        <w:rFonts w:cs="Times New Roman"/>
      </w:rPr>
    </w:lvl>
    <w:lvl w:ilvl="4">
      <w:start w:val="1"/>
      <w:numFmt w:val="decimal"/>
      <w:lvlText w:val="%1.%2-%3.%4.%5."/>
      <w:lvlJc w:val="left"/>
      <w:pPr>
        <w:tabs>
          <w:tab w:val="num" w:pos="7006"/>
        </w:tabs>
        <w:ind w:left="7006" w:hanging="1080"/>
      </w:pPr>
      <w:rPr>
        <w:b/>
        <w:rFonts w:cs="Times New Roman"/>
      </w:rPr>
    </w:lvl>
    <w:lvl w:ilvl="5">
      <w:start w:val="1"/>
      <w:numFmt w:val="decimal"/>
      <w:lvlText w:val="%1.%2-%3.%4.%5.%6."/>
      <w:lvlJc w:val="left"/>
      <w:pPr>
        <w:tabs>
          <w:tab w:val="num" w:pos="8812"/>
        </w:tabs>
        <w:ind w:left="8812" w:hanging="1440"/>
      </w:pPr>
      <w:rPr>
        <w:b/>
        <w:rFonts w:cs="Times New Roman"/>
      </w:rPr>
    </w:lvl>
    <w:lvl w:ilvl="6">
      <w:start w:val="1"/>
      <w:numFmt w:val="decimal"/>
      <w:lvlText w:val="%1.%2-%3.%4.%5.%6.%7."/>
      <w:lvlJc w:val="left"/>
      <w:pPr>
        <w:tabs>
          <w:tab w:val="num" w:pos="10258"/>
        </w:tabs>
        <w:ind w:left="10258" w:hanging="1440"/>
      </w:pPr>
      <w:rPr>
        <w:b/>
        <w:rFonts w:cs="Times New Roman"/>
      </w:rPr>
    </w:lvl>
    <w:lvl w:ilvl="7">
      <w:start w:val="1"/>
      <w:numFmt w:val="decimal"/>
      <w:lvlText w:val="%1.%2-%3.%4.%5.%6.%7.%8."/>
      <w:lvlJc w:val="left"/>
      <w:pPr>
        <w:tabs>
          <w:tab w:val="num" w:pos="12064"/>
        </w:tabs>
        <w:ind w:left="12064" w:hanging="1800"/>
      </w:pPr>
      <w:rPr>
        <w:b/>
        <w:rFonts w:cs="Times New Roman"/>
      </w:rPr>
    </w:lvl>
    <w:lvl w:ilvl="8">
      <w:start w:val="1"/>
      <w:numFmt w:val="decimal"/>
      <w:lvlText w:val="%1.%2-%3.%4.%5.%6.%7.%8.%9."/>
      <w:lvlJc w:val="left"/>
      <w:pPr>
        <w:tabs>
          <w:tab w:val="num" w:pos="13510"/>
        </w:tabs>
        <w:ind w:left="13510" w:hanging="1800"/>
      </w:pPr>
      <w:rPr>
        <w:b/>
        <w:rFonts w:cs="Times New Roman"/>
      </w:rPr>
    </w:lvl>
  </w:abstractNum>
  <w:abstractNum w:abstractNumId="9">
    <w:lvl w:ilvl="0">
      <w:start w:val="6"/>
      <w:numFmt w:val="decimal"/>
      <w:lvlText w:val="%1.1"/>
      <w:lvlJc w:val="left"/>
      <w:pPr>
        <w:tabs>
          <w:tab w:val="num" w:pos="705"/>
        </w:tabs>
        <w:ind w:left="705" w:hanging="705"/>
      </w:pPr>
      <w:rPr>
        <w:sz w:val="24"/>
        <w:i w:val="false"/>
        <w:b/>
        <w:rFonts w:cs="Times New Roman"/>
        <w:color w:val="auto"/>
      </w:rPr>
    </w:lvl>
    <w:lvl w:ilvl="1">
      <w:start w:val="7"/>
      <w:numFmt w:val="decimal"/>
      <w:lvlText w:val="%1.%2."/>
      <w:lvlJc w:val="left"/>
      <w:pPr>
        <w:tabs>
          <w:tab w:val="num" w:pos="4537"/>
        </w:tabs>
        <w:ind w:left="4537" w:hanging="567"/>
      </w:pPr>
      <w:rPr>
        <w:sz w:val="24"/>
        <w:i w:val="false"/>
        <w:b/>
        <w:rFonts w:ascii="Arial" w:hAnsi="Arial" w:cs="Arial"/>
        <w:color w:val="auto"/>
      </w:rPr>
    </w:lvl>
    <w:lvl w:ilvl="2">
      <w:start w:val="1"/>
      <w:numFmt w:val="decimal"/>
      <w:lvlText w:val="%1.%2.%3."/>
      <w:lvlJc w:val="left"/>
      <w:pPr>
        <w:tabs>
          <w:tab w:val="num" w:pos="3612"/>
        </w:tabs>
        <w:ind w:left="3612" w:hanging="720"/>
      </w:pPr>
      <w:rPr>
        <w:sz w:val="24"/>
        <w:i w:val="false"/>
        <w:b/>
        <w:rFonts w:ascii="Arial" w:hAnsi="Arial" w:cs="Arial"/>
        <w:color w:val="auto"/>
      </w:rPr>
    </w:lvl>
    <w:lvl w:ilvl="3">
      <w:start w:val="1"/>
      <w:numFmt w:val="decimal"/>
      <w:lvlText w:val="%1.%2-%3.%4."/>
      <w:lvlJc w:val="left"/>
      <w:pPr>
        <w:tabs>
          <w:tab w:val="num" w:pos="5418"/>
        </w:tabs>
        <w:ind w:left="5418" w:hanging="1080"/>
      </w:pPr>
      <w:rPr>
        <w:b/>
        <w:rFonts w:cs="Times New Roman"/>
      </w:rPr>
    </w:lvl>
    <w:lvl w:ilvl="4">
      <w:start w:val="1"/>
      <w:numFmt w:val="decimal"/>
      <w:lvlText w:val="%1.%2-%3.%4.%5."/>
      <w:lvlJc w:val="left"/>
      <w:pPr>
        <w:tabs>
          <w:tab w:val="num" w:pos="6864"/>
        </w:tabs>
        <w:ind w:left="6864" w:hanging="1080"/>
      </w:pPr>
      <w:rPr>
        <w:b/>
        <w:rFonts w:cs="Times New Roman"/>
      </w:rPr>
    </w:lvl>
    <w:lvl w:ilvl="5">
      <w:start w:val="1"/>
      <w:numFmt w:val="decimal"/>
      <w:lvlText w:val="%1.%2-%3.%4.%5.%6."/>
      <w:lvlJc w:val="left"/>
      <w:pPr>
        <w:tabs>
          <w:tab w:val="num" w:pos="8670"/>
        </w:tabs>
        <w:ind w:left="8670" w:hanging="1440"/>
      </w:pPr>
      <w:rPr>
        <w:b/>
        <w:rFonts w:cs="Times New Roman"/>
      </w:rPr>
    </w:lvl>
    <w:lvl w:ilvl="6">
      <w:start w:val="1"/>
      <w:numFmt w:val="decimal"/>
      <w:lvlText w:val="%1.%2-%3.%4.%5.%6.%7."/>
      <w:lvlJc w:val="left"/>
      <w:pPr>
        <w:tabs>
          <w:tab w:val="num" w:pos="10116"/>
        </w:tabs>
        <w:ind w:left="10116" w:hanging="1440"/>
      </w:pPr>
      <w:rPr>
        <w:b/>
        <w:rFonts w:cs="Times New Roman"/>
      </w:rPr>
    </w:lvl>
    <w:lvl w:ilvl="7">
      <w:start w:val="1"/>
      <w:numFmt w:val="decimal"/>
      <w:lvlText w:val="%1.%2-%3.%4.%5.%6.%7.%8."/>
      <w:lvlJc w:val="left"/>
      <w:pPr>
        <w:tabs>
          <w:tab w:val="num" w:pos="11922"/>
        </w:tabs>
        <w:ind w:left="11922" w:hanging="1800"/>
      </w:pPr>
      <w:rPr>
        <w:b/>
        <w:rFonts w:cs="Times New Roman"/>
      </w:rPr>
    </w:lvl>
    <w:lvl w:ilvl="8">
      <w:start w:val="1"/>
      <w:numFmt w:val="decimal"/>
      <w:lvlText w:val="%1.%2-%3.%4.%5.%6.%7.%8.%9."/>
      <w:lvlJc w:val="left"/>
      <w:pPr>
        <w:tabs>
          <w:tab w:val="num" w:pos="13368"/>
        </w:tabs>
        <w:ind w:left="13368" w:hanging="1800"/>
      </w:pPr>
      <w:rPr>
        <w:b/>
        <w:rFonts w:cs="Times New Roman"/>
      </w:rPr>
    </w:lvl>
  </w:abstractNum>
  <w:abstractNum w:abstractNumId="10">
    <w:lvl w:ilvl="0">
      <w:start w:val="8"/>
      <w:numFmt w:val="decimal"/>
      <w:lvlText w:val="%1.1"/>
      <w:lvlJc w:val="left"/>
      <w:pPr>
        <w:tabs>
          <w:tab w:val="num" w:pos="705"/>
        </w:tabs>
        <w:ind w:left="705" w:hanging="705"/>
      </w:pPr>
      <w:rPr>
        <w:sz w:val="24"/>
        <w:i w:val="false"/>
        <w:b/>
        <w:rFonts w:cs="Times New Roman"/>
        <w:color w:val="auto"/>
      </w:rPr>
    </w:lvl>
    <w:lvl w:ilvl="1">
      <w:start w:val="2"/>
      <w:numFmt w:val="decimal"/>
      <w:lvlText w:val="%1.%2."/>
      <w:lvlJc w:val="left"/>
      <w:pPr>
        <w:tabs>
          <w:tab w:val="num" w:pos="4537"/>
        </w:tabs>
        <w:ind w:left="4537" w:hanging="567"/>
      </w:pPr>
      <w:rPr>
        <w:sz w:val="24"/>
        <w:i w:val="false"/>
        <w:b/>
        <w:rFonts w:ascii="Times New Roman" w:hAnsi="Times New Roman" w:cs="Times New Roman"/>
        <w:color w:val="auto"/>
      </w:rPr>
    </w:lvl>
    <w:lvl w:ilvl="2">
      <w:start w:val="1"/>
      <w:numFmt w:val="decimal"/>
      <w:lvlText w:val="%1.%2.%3."/>
      <w:lvlJc w:val="left"/>
      <w:pPr>
        <w:tabs>
          <w:tab w:val="num" w:pos="3612"/>
        </w:tabs>
        <w:ind w:left="3612" w:hanging="720"/>
      </w:pPr>
      <w:rPr>
        <w:sz w:val="24"/>
        <w:i w:val="false"/>
        <w:b/>
        <w:rFonts w:ascii="Times New Roman" w:hAnsi="Times New Roman" w:cs="Times New Roman"/>
        <w:color w:val="auto"/>
      </w:rPr>
    </w:lvl>
    <w:lvl w:ilvl="3">
      <w:start w:val="1"/>
      <w:numFmt w:val="decimal"/>
      <w:lvlText w:val="%1.%2-%3.%4."/>
      <w:lvlJc w:val="left"/>
      <w:pPr>
        <w:tabs>
          <w:tab w:val="num" w:pos="5418"/>
        </w:tabs>
        <w:ind w:left="5418" w:hanging="1080"/>
      </w:pPr>
      <w:rPr>
        <w:b/>
        <w:rFonts w:cs="Times New Roman"/>
      </w:rPr>
    </w:lvl>
    <w:lvl w:ilvl="4">
      <w:start w:val="1"/>
      <w:numFmt w:val="decimal"/>
      <w:lvlText w:val="%1.%2-%3.%4.%5."/>
      <w:lvlJc w:val="left"/>
      <w:pPr>
        <w:tabs>
          <w:tab w:val="num" w:pos="6864"/>
        </w:tabs>
        <w:ind w:left="6864" w:hanging="1080"/>
      </w:pPr>
      <w:rPr>
        <w:b/>
        <w:rFonts w:cs="Times New Roman"/>
      </w:rPr>
    </w:lvl>
    <w:lvl w:ilvl="5">
      <w:start w:val="1"/>
      <w:numFmt w:val="decimal"/>
      <w:lvlText w:val="%1.%2-%3.%4.%5.%6."/>
      <w:lvlJc w:val="left"/>
      <w:pPr>
        <w:tabs>
          <w:tab w:val="num" w:pos="8670"/>
        </w:tabs>
        <w:ind w:left="8670" w:hanging="1440"/>
      </w:pPr>
      <w:rPr>
        <w:b/>
        <w:rFonts w:cs="Times New Roman"/>
      </w:rPr>
    </w:lvl>
    <w:lvl w:ilvl="6">
      <w:start w:val="1"/>
      <w:numFmt w:val="decimal"/>
      <w:lvlText w:val="%1.%2-%3.%4.%5.%6.%7."/>
      <w:lvlJc w:val="left"/>
      <w:pPr>
        <w:tabs>
          <w:tab w:val="num" w:pos="10116"/>
        </w:tabs>
        <w:ind w:left="10116" w:hanging="1440"/>
      </w:pPr>
      <w:rPr>
        <w:b/>
        <w:rFonts w:cs="Times New Roman"/>
      </w:rPr>
    </w:lvl>
    <w:lvl w:ilvl="7">
      <w:start w:val="1"/>
      <w:numFmt w:val="decimal"/>
      <w:lvlText w:val="%1.%2-%3.%4.%5.%6.%7.%8."/>
      <w:lvlJc w:val="left"/>
      <w:pPr>
        <w:tabs>
          <w:tab w:val="num" w:pos="11922"/>
        </w:tabs>
        <w:ind w:left="11922" w:hanging="1800"/>
      </w:pPr>
      <w:rPr>
        <w:b/>
        <w:rFonts w:cs="Times New Roman"/>
      </w:rPr>
    </w:lvl>
    <w:lvl w:ilvl="8">
      <w:start w:val="1"/>
      <w:numFmt w:val="decimal"/>
      <w:lvlText w:val="%1.%2-%3.%4.%5.%6.%7.%8.%9."/>
      <w:lvlJc w:val="left"/>
      <w:pPr>
        <w:tabs>
          <w:tab w:val="num" w:pos="13368"/>
        </w:tabs>
        <w:ind w:left="13368" w:hanging="1800"/>
      </w:pPr>
      <w:rPr>
        <w:b/>
        <w:rFonts w:cs="Times New Roman"/>
      </w:rPr>
    </w:lvl>
  </w:abstractNum>
  <w:abstractNum w:abstractNumId="11">
    <w:lvl w:ilvl="0">
      <w:start w:val="10"/>
      <w:numFmt w:val="decimal"/>
      <w:lvlText w:val="%1.4"/>
      <w:lvlJc w:val="left"/>
      <w:pPr>
        <w:tabs>
          <w:tab w:val="num" w:pos="705"/>
        </w:tabs>
        <w:ind w:left="705" w:hanging="705"/>
      </w:pPr>
      <w:rPr>
        <w:sz w:val="24"/>
        <w:i w:val="false"/>
        <w:b/>
        <w:rFonts w:cs="Times New Roman"/>
        <w:color w:val="auto"/>
      </w:rPr>
    </w:lvl>
    <w:lvl w:ilvl="1">
      <w:start w:val="3"/>
      <w:numFmt w:val="decimal"/>
      <w:lvlText w:val="%1.%2."/>
      <w:lvlJc w:val="left"/>
      <w:pPr>
        <w:tabs>
          <w:tab w:val="num" w:pos="4537"/>
        </w:tabs>
        <w:ind w:left="4537" w:hanging="567"/>
      </w:pPr>
      <w:rPr>
        <w:sz w:val="24"/>
        <w:i w:val="false"/>
        <w:b/>
        <w:rFonts w:ascii="Arial" w:hAnsi="Arial" w:cs="Arial"/>
        <w:color w:val="auto"/>
      </w:rPr>
    </w:lvl>
    <w:lvl w:ilvl="2">
      <w:start w:val="1"/>
      <w:numFmt w:val="decimal"/>
      <w:lvlText w:val="%1.%2.%3."/>
      <w:lvlJc w:val="left"/>
      <w:pPr>
        <w:tabs>
          <w:tab w:val="num" w:pos="3612"/>
        </w:tabs>
        <w:ind w:left="3612" w:hanging="720"/>
      </w:pPr>
      <w:rPr>
        <w:sz w:val="24"/>
        <w:i w:val="false"/>
        <w:b/>
        <w:rFonts w:ascii="Arial" w:hAnsi="Arial" w:cs="Arial"/>
        <w:color w:val="auto"/>
      </w:rPr>
    </w:lvl>
    <w:lvl w:ilvl="3">
      <w:start w:val="1"/>
      <w:numFmt w:val="decimal"/>
      <w:lvlText w:val="%1.%2-%3.%4."/>
      <w:lvlJc w:val="left"/>
      <w:pPr>
        <w:tabs>
          <w:tab w:val="num" w:pos="5418"/>
        </w:tabs>
        <w:ind w:left="5418" w:hanging="1080"/>
      </w:pPr>
      <w:rPr>
        <w:b/>
        <w:rFonts w:cs="Times New Roman"/>
      </w:rPr>
    </w:lvl>
    <w:lvl w:ilvl="4">
      <w:start w:val="1"/>
      <w:numFmt w:val="decimal"/>
      <w:lvlText w:val="%1.%2-%3.%4.%5."/>
      <w:lvlJc w:val="left"/>
      <w:pPr>
        <w:tabs>
          <w:tab w:val="num" w:pos="6864"/>
        </w:tabs>
        <w:ind w:left="6864" w:hanging="1080"/>
      </w:pPr>
      <w:rPr>
        <w:b/>
        <w:rFonts w:cs="Times New Roman"/>
      </w:rPr>
    </w:lvl>
    <w:lvl w:ilvl="5">
      <w:start w:val="1"/>
      <w:numFmt w:val="decimal"/>
      <w:lvlText w:val="%1.%2-%3.%4.%5.%6."/>
      <w:lvlJc w:val="left"/>
      <w:pPr>
        <w:tabs>
          <w:tab w:val="num" w:pos="8670"/>
        </w:tabs>
        <w:ind w:left="8670" w:hanging="1440"/>
      </w:pPr>
      <w:rPr>
        <w:b/>
        <w:rFonts w:cs="Times New Roman"/>
      </w:rPr>
    </w:lvl>
    <w:lvl w:ilvl="6">
      <w:start w:val="1"/>
      <w:numFmt w:val="decimal"/>
      <w:lvlText w:val="%1.%2-%3.%4.%5.%6.%7."/>
      <w:lvlJc w:val="left"/>
      <w:pPr>
        <w:tabs>
          <w:tab w:val="num" w:pos="10116"/>
        </w:tabs>
        <w:ind w:left="10116" w:hanging="1440"/>
      </w:pPr>
      <w:rPr>
        <w:b/>
        <w:rFonts w:cs="Times New Roman"/>
      </w:rPr>
    </w:lvl>
    <w:lvl w:ilvl="7">
      <w:start w:val="1"/>
      <w:numFmt w:val="decimal"/>
      <w:lvlText w:val="%1.%2-%3.%4.%5.%6.%7.%8."/>
      <w:lvlJc w:val="left"/>
      <w:pPr>
        <w:tabs>
          <w:tab w:val="num" w:pos="11922"/>
        </w:tabs>
        <w:ind w:left="11922" w:hanging="1800"/>
      </w:pPr>
      <w:rPr>
        <w:b/>
        <w:rFonts w:cs="Times New Roman"/>
      </w:rPr>
    </w:lvl>
    <w:lvl w:ilvl="8">
      <w:start w:val="1"/>
      <w:numFmt w:val="decimal"/>
      <w:lvlText w:val="%1.%2-%3.%4.%5.%6.%7.%8.%9."/>
      <w:lvlJc w:val="left"/>
      <w:pPr>
        <w:tabs>
          <w:tab w:val="num" w:pos="13368"/>
        </w:tabs>
        <w:ind w:left="13368" w:hanging="1800"/>
      </w:pPr>
      <w:rPr>
        <w:b/>
        <w:rFonts w:cs="Times New Roman"/>
      </w:rPr>
    </w:lvl>
  </w:abstractNum>
  <w:abstractNum w:abstractNumId="12">
    <w:lvl w:ilvl="0">
      <w:start w:val="10"/>
      <w:numFmt w:val="decimal"/>
      <w:lvlText w:val="%1.4"/>
      <w:lvlJc w:val="left"/>
      <w:pPr>
        <w:tabs>
          <w:tab w:val="num" w:pos="705"/>
        </w:tabs>
        <w:ind w:left="705" w:hanging="705"/>
      </w:pPr>
      <w:rPr>
        <w:sz w:val="24"/>
        <w:i w:val="false"/>
        <w:b/>
        <w:rFonts w:cs="Times New Roman"/>
        <w:color w:val="auto"/>
      </w:rPr>
    </w:lvl>
    <w:lvl w:ilvl="1">
      <w:start w:val="5"/>
      <w:numFmt w:val="decimal"/>
      <w:lvlText w:val="%1.%2."/>
      <w:lvlJc w:val="left"/>
      <w:pPr>
        <w:tabs>
          <w:tab w:val="num" w:pos="4537"/>
        </w:tabs>
        <w:ind w:left="4537" w:hanging="567"/>
      </w:pPr>
      <w:rPr>
        <w:sz w:val="24"/>
        <w:i w:val="false"/>
        <w:b/>
        <w:rFonts w:ascii="Times New Roman" w:hAnsi="Times New Roman" w:cs="Times New Roman"/>
        <w:color w:val="auto"/>
      </w:rPr>
    </w:lvl>
    <w:lvl w:ilvl="2">
      <w:start w:val="1"/>
      <w:numFmt w:val="decimal"/>
      <w:lvlText w:val="%1.%2.%3."/>
      <w:lvlJc w:val="left"/>
      <w:pPr>
        <w:tabs>
          <w:tab w:val="num" w:pos="3612"/>
        </w:tabs>
        <w:ind w:left="3612" w:hanging="720"/>
      </w:pPr>
      <w:rPr>
        <w:sz w:val="24"/>
        <w:i w:val="false"/>
        <w:b/>
        <w:rFonts w:ascii="Times New Roman" w:hAnsi="Times New Roman" w:cs="Times New Roman"/>
        <w:color w:val="auto"/>
      </w:rPr>
    </w:lvl>
    <w:lvl w:ilvl="3">
      <w:start w:val="1"/>
      <w:numFmt w:val="decimal"/>
      <w:lvlText w:val="%1.%2-%3.%4."/>
      <w:lvlJc w:val="left"/>
      <w:pPr>
        <w:tabs>
          <w:tab w:val="num" w:pos="5418"/>
        </w:tabs>
        <w:ind w:left="5418" w:hanging="1080"/>
      </w:pPr>
      <w:rPr>
        <w:b/>
        <w:rFonts w:cs="Times New Roman"/>
      </w:rPr>
    </w:lvl>
    <w:lvl w:ilvl="4">
      <w:start w:val="1"/>
      <w:numFmt w:val="decimal"/>
      <w:lvlText w:val="%1.%2-%3.%4.%5."/>
      <w:lvlJc w:val="left"/>
      <w:pPr>
        <w:tabs>
          <w:tab w:val="num" w:pos="6864"/>
        </w:tabs>
        <w:ind w:left="6864" w:hanging="1080"/>
      </w:pPr>
      <w:rPr>
        <w:b/>
        <w:rFonts w:cs="Times New Roman"/>
      </w:rPr>
    </w:lvl>
    <w:lvl w:ilvl="5">
      <w:start w:val="1"/>
      <w:numFmt w:val="decimal"/>
      <w:lvlText w:val="%1.%2-%3.%4.%5.%6."/>
      <w:lvlJc w:val="left"/>
      <w:pPr>
        <w:tabs>
          <w:tab w:val="num" w:pos="8670"/>
        </w:tabs>
        <w:ind w:left="8670" w:hanging="1440"/>
      </w:pPr>
      <w:rPr>
        <w:b/>
        <w:rFonts w:cs="Times New Roman"/>
      </w:rPr>
    </w:lvl>
    <w:lvl w:ilvl="6">
      <w:start w:val="1"/>
      <w:numFmt w:val="decimal"/>
      <w:lvlText w:val="%1.%2-%3.%4.%5.%6.%7."/>
      <w:lvlJc w:val="left"/>
      <w:pPr>
        <w:tabs>
          <w:tab w:val="num" w:pos="10116"/>
        </w:tabs>
        <w:ind w:left="10116" w:hanging="1440"/>
      </w:pPr>
      <w:rPr>
        <w:b/>
        <w:rFonts w:cs="Times New Roman"/>
      </w:rPr>
    </w:lvl>
    <w:lvl w:ilvl="7">
      <w:start w:val="1"/>
      <w:numFmt w:val="decimal"/>
      <w:lvlText w:val="%1.%2-%3.%4.%5.%6.%7.%8."/>
      <w:lvlJc w:val="left"/>
      <w:pPr>
        <w:tabs>
          <w:tab w:val="num" w:pos="11922"/>
        </w:tabs>
        <w:ind w:left="11922" w:hanging="1800"/>
      </w:pPr>
      <w:rPr>
        <w:b/>
        <w:rFonts w:cs="Times New Roman"/>
      </w:rPr>
    </w:lvl>
    <w:lvl w:ilvl="8">
      <w:start w:val="1"/>
      <w:numFmt w:val="decimal"/>
      <w:lvlText w:val="%1.%2-%3.%4.%5.%6.%7.%8.%9."/>
      <w:lvlJc w:val="left"/>
      <w:pPr>
        <w:tabs>
          <w:tab w:val="num" w:pos="13368"/>
        </w:tabs>
        <w:ind w:left="13368" w:hanging="1800"/>
      </w:pPr>
      <w:rPr>
        <w:b/>
        <w:rFonts w:cs="Times New Roman"/>
      </w:rPr>
    </w:lvl>
  </w:abstractNum>
  <w:abstractNum w:abstractNumId="13">
    <w:lvl w:ilvl="0">
      <w:start w:val="1"/>
      <w:numFmt w:val="lowerLetter"/>
      <w:lvlText w:val="%1)"/>
      <w:lvlJc w:val="left"/>
      <w:pPr>
        <w:tabs>
          <w:tab w:val="num" w:pos="0"/>
        </w:tabs>
        <w:ind w:left="720" w:hanging="360"/>
      </w:pPr>
      <w:rPr>
        <w:b/>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4">
    <w:lvl w:ilvl="0">
      <w:start w:val="6"/>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5">
    <w:lvl w:ilvl="0">
      <w:start w:val="1"/>
      <w:numFmt w:val="lowerLetter"/>
      <w:lvlText w:val="%1)"/>
      <w:lvlJc w:val="left"/>
      <w:pPr>
        <w:tabs>
          <w:tab w:val="num" w:pos="0"/>
        </w:tabs>
        <w:ind w:left="1146" w:hanging="360"/>
      </w:pPr>
      <w:rPr/>
    </w:lvl>
    <w:lvl w:ilvl="1">
      <w:start w:val="1"/>
      <w:numFmt w:val="lowerLetter"/>
      <w:lvlText w:val="%2."/>
      <w:lvlJc w:val="left"/>
      <w:pPr>
        <w:tabs>
          <w:tab w:val="num" w:pos="0"/>
        </w:tabs>
        <w:ind w:left="1866" w:hanging="360"/>
      </w:pPr>
      <w:rPr/>
    </w:lvl>
    <w:lvl w:ilvl="2">
      <w:start w:val="1"/>
      <w:numFmt w:val="lowerRoman"/>
      <w:lvlText w:val="%3."/>
      <w:lvlJc w:val="right"/>
      <w:pPr>
        <w:tabs>
          <w:tab w:val="num" w:pos="0"/>
        </w:tabs>
        <w:ind w:left="2586" w:hanging="180"/>
      </w:pPr>
      <w:rPr/>
    </w:lvl>
    <w:lvl w:ilvl="3">
      <w:start w:val="1"/>
      <w:numFmt w:val="decimal"/>
      <w:lvlText w:val="%4."/>
      <w:lvlJc w:val="left"/>
      <w:pPr>
        <w:tabs>
          <w:tab w:val="num" w:pos="0"/>
        </w:tabs>
        <w:ind w:left="3306" w:hanging="360"/>
      </w:pPr>
      <w:rPr/>
    </w:lvl>
    <w:lvl w:ilvl="4">
      <w:start w:val="1"/>
      <w:numFmt w:val="lowerLetter"/>
      <w:lvlText w:val="%5."/>
      <w:lvlJc w:val="left"/>
      <w:pPr>
        <w:tabs>
          <w:tab w:val="num" w:pos="0"/>
        </w:tabs>
        <w:ind w:left="4026" w:hanging="360"/>
      </w:pPr>
      <w:rPr/>
    </w:lvl>
    <w:lvl w:ilvl="5">
      <w:start w:val="1"/>
      <w:numFmt w:val="lowerRoman"/>
      <w:lvlText w:val="%6."/>
      <w:lvlJc w:val="right"/>
      <w:pPr>
        <w:tabs>
          <w:tab w:val="num" w:pos="0"/>
        </w:tabs>
        <w:ind w:left="4746" w:hanging="180"/>
      </w:pPr>
      <w:rPr/>
    </w:lvl>
    <w:lvl w:ilvl="6">
      <w:start w:val="1"/>
      <w:numFmt w:val="decimal"/>
      <w:lvlText w:val="%7."/>
      <w:lvlJc w:val="left"/>
      <w:pPr>
        <w:tabs>
          <w:tab w:val="num" w:pos="0"/>
        </w:tabs>
        <w:ind w:left="5466" w:hanging="360"/>
      </w:pPr>
      <w:rPr/>
    </w:lvl>
    <w:lvl w:ilvl="7">
      <w:start w:val="1"/>
      <w:numFmt w:val="lowerLetter"/>
      <w:lvlText w:val="%8."/>
      <w:lvlJc w:val="left"/>
      <w:pPr>
        <w:tabs>
          <w:tab w:val="num" w:pos="0"/>
        </w:tabs>
        <w:ind w:left="6186" w:hanging="360"/>
      </w:pPr>
      <w:rPr/>
    </w:lvl>
    <w:lvl w:ilvl="8">
      <w:start w:val="1"/>
      <w:numFmt w:val="lowerRoman"/>
      <w:lvlText w:val="%9."/>
      <w:lvlJc w:val="right"/>
      <w:pPr>
        <w:tabs>
          <w:tab w:val="num" w:pos="0"/>
        </w:tabs>
        <w:ind w:left="6906" w:hanging="180"/>
      </w:pPr>
      <w:rPr/>
    </w:lvl>
  </w:abstractNum>
  <w:abstractNum w:abstractNumId="16">
    <w:lvl w:ilvl="0">
      <w:start w:val="1"/>
      <w:numFmt w:val="lowerLetter"/>
      <w:lvlText w:val="%1)"/>
      <w:lvlJc w:val="left"/>
      <w:pPr>
        <w:tabs>
          <w:tab w:val="num" w:pos="0"/>
        </w:tabs>
        <w:ind w:left="1440" w:hanging="360"/>
      </w:pPr>
      <w:rPr/>
    </w:lvl>
    <w:lvl w:ilvl="1">
      <w:start w:val="1"/>
      <w:numFmt w:val="lowerLetter"/>
      <w:lvlText w:val="%2."/>
      <w:lvlJc w:val="left"/>
      <w:pPr>
        <w:tabs>
          <w:tab w:val="num" w:pos="0"/>
        </w:tabs>
        <w:ind w:left="2160" w:hanging="360"/>
      </w:pPr>
      <w:rPr/>
    </w:lvl>
    <w:lvl w:ilvl="2">
      <w:start w:val="1"/>
      <w:numFmt w:val="lowerRoman"/>
      <w:lvlText w:val="%3."/>
      <w:lvlJc w:val="right"/>
      <w:pPr>
        <w:tabs>
          <w:tab w:val="num" w:pos="0"/>
        </w:tabs>
        <w:ind w:left="2880" w:hanging="180"/>
      </w:pPr>
      <w:rPr/>
    </w:lvl>
    <w:lvl w:ilvl="3">
      <w:start w:val="1"/>
      <w:numFmt w:val="decimal"/>
      <w:lvlText w:val="%4."/>
      <w:lvlJc w:val="left"/>
      <w:pPr>
        <w:tabs>
          <w:tab w:val="num" w:pos="0"/>
        </w:tabs>
        <w:ind w:left="3600" w:hanging="360"/>
      </w:pPr>
      <w:rPr/>
    </w:lvl>
    <w:lvl w:ilvl="4">
      <w:start w:val="1"/>
      <w:numFmt w:val="lowerLetter"/>
      <w:lvlText w:val="%5."/>
      <w:lvlJc w:val="left"/>
      <w:pPr>
        <w:tabs>
          <w:tab w:val="num" w:pos="0"/>
        </w:tabs>
        <w:ind w:left="4320" w:hanging="360"/>
      </w:pPr>
      <w:rPr/>
    </w:lvl>
    <w:lvl w:ilvl="5">
      <w:start w:val="1"/>
      <w:numFmt w:val="lowerRoman"/>
      <w:lvlText w:val="%6."/>
      <w:lvlJc w:val="right"/>
      <w:pPr>
        <w:tabs>
          <w:tab w:val="num" w:pos="0"/>
        </w:tabs>
        <w:ind w:left="5040" w:hanging="180"/>
      </w:pPr>
      <w:rPr/>
    </w:lvl>
    <w:lvl w:ilvl="6">
      <w:start w:val="1"/>
      <w:numFmt w:val="decimal"/>
      <w:lvlText w:val="%7."/>
      <w:lvlJc w:val="left"/>
      <w:pPr>
        <w:tabs>
          <w:tab w:val="num" w:pos="0"/>
        </w:tabs>
        <w:ind w:left="5760" w:hanging="360"/>
      </w:pPr>
      <w:rPr/>
    </w:lvl>
    <w:lvl w:ilvl="7">
      <w:start w:val="1"/>
      <w:numFmt w:val="lowerLetter"/>
      <w:lvlText w:val="%8."/>
      <w:lvlJc w:val="left"/>
      <w:pPr>
        <w:tabs>
          <w:tab w:val="num" w:pos="0"/>
        </w:tabs>
        <w:ind w:left="6480" w:hanging="360"/>
      </w:pPr>
      <w:rPr/>
    </w:lvl>
    <w:lvl w:ilvl="8">
      <w:start w:val="1"/>
      <w:numFmt w:val="lowerRoman"/>
      <w:lvlText w:val="%9."/>
      <w:lvlJc w:val="right"/>
      <w:pPr>
        <w:tabs>
          <w:tab w:val="num" w:pos="0"/>
        </w:tabs>
        <w:ind w:left="7200" w:hanging="180"/>
      </w:pPr>
      <w:rPr/>
    </w:lvl>
  </w:abstractNum>
  <w:abstractNum w:abstractNumId="17">
    <w:lvl w:ilvl="0">
      <w:start w:val="1"/>
      <w:numFmt w:val="lowerLetter"/>
      <w:lvlText w:val="%1)"/>
      <w:lvlJc w:val="left"/>
      <w:pPr>
        <w:tabs>
          <w:tab w:val="num" w:pos="0"/>
        </w:tabs>
        <w:ind w:left="1146" w:hanging="360"/>
      </w:pPr>
      <w:rPr/>
    </w:lvl>
    <w:lvl w:ilvl="1">
      <w:start w:val="1"/>
      <w:numFmt w:val="lowerLetter"/>
      <w:lvlText w:val="%2."/>
      <w:lvlJc w:val="left"/>
      <w:pPr>
        <w:tabs>
          <w:tab w:val="num" w:pos="0"/>
        </w:tabs>
        <w:ind w:left="1866" w:hanging="360"/>
      </w:pPr>
      <w:rPr/>
    </w:lvl>
    <w:lvl w:ilvl="2">
      <w:start w:val="1"/>
      <w:numFmt w:val="lowerRoman"/>
      <w:lvlText w:val="%3."/>
      <w:lvlJc w:val="right"/>
      <w:pPr>
        <w:tabs>
          <w:tab w:val="num" w:pos="0"/>
        </w:tabs>
        <w:ind w:left="2586" w:hanging="180"/>
      </w:pPr>
      <w:rPr/>
    </w:lvl>
    <w:lvl w:ilvl="3">
      <w:start w:val="1"/>
      <w:numFmt w:val="decimal"/>
      <w:lvlText w:val="%4."/>
      <w:lvlJc w:val="left"/>
      <w:pPr>
        <w:tabs>
          <w:tab w:val="num" w:pos="0"/>
        </w:tabs>
        <w:ind w:left="3306" w:hanging="360"/>
      </w:pPr>
      <w:rPr/>
    </w:lvl>
    <w:lvl w:ilvl="4">
      <w:start w:val="1"/>
      <w:numFmt w:val="lowerLetter"/>
      <w:lvlText w:val="%5."/>
      <w:lvlJc w:val="left"/>
      <w:pPr>
        <w:tabs>
          <w:tab w:val="num" w:pos="0"/>
        </w:tabs>
        <w:ind w:left="4026" w:hanging="360"/>
      </w:pPr>
      <w:rPr/>
    </w:lvl>
    <w:lvl w:ilvl="5">
      <w:start w:val="1"/>
      <w:numFmt w:val="lowerRoman"/>
      <w:lvlText w:val="%6."/>
      <w:lvlJc w:val="right"/>
      <w:pPr>
        <w:tabs>
          <w:tab w:val="num" w:pos="0"/>
        </w:tabs>
        <w:ind w:left="4746" w:hanging="180"/>
      </w:pPr>
      <w:rPr/>
    </w:lvl>
    <w:lvl w:ilvl="6">
      <w:start w:val="1"/>
      <w:numFmt w:val="decimal"/>
      <w:lvlText w:val="%7."/>
      <w:lvlJc w:val="left"/>
      <w:pPr>
        <w:tabs>
          <w:tab w:val="num" w:pos="0"/>
        </w:tabs>
        <w:ind w:left="5466" w:hanging="360"/>
      </w:pPr>
      <w:rPr/>
    </w:lvl>
    <w:lvl w:ilvl="7">
      <w:start w:val="1"/>
      <w:numFmt w:val="lowerLetter"/>
      <w:lvlText w:val="%8."/>
      <w:lvlJc w:val="left"/>
      <w:pPr>
        <w:tabs>
          <w:tab w:val="num" w:pos="0"/>
        </w:tabs>
        <w:ind w:left="6186" w:hanging="360"/>
      </w:pPr>
      <w:rPr/>
    </w:lvl>
    <w:lvl w:ilvl="8">
      <w:start w:val="1"/>
      <w:numFmt w:val="lowerRoman"/>
      <w:lvlText w:val="%9."/>
      <w:lvlJc w:val="right"/>
      <w:pPr>
        <w:tabs>
          <w:tab w:val="num" w:pos="0"/>
        </w:tabs>
        <w:ind w:left="6906" w:hanging="180"/>
      </w:pPr>
      <w:rPr/>
    </w:lvl>
  </w:abstractNum>
  <w:abstractNum w:abstractNumId="18">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1">
    <w:lvl w:ilvl="0">
      <w:start w:val="19"/>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20"/>
      <w:numFmt w:val="decimal"/>
      <w:lvlText w:val="%1"/>
      <w:lvlJc w:val="left"/>
      <w:pPr>
        <w:tabs>
          <w:tab w:val="num" w:pos="0"/>
        </w:tabs>
        <w:ind w:left="420" w:hanging="420"/>
      </w:pPr>
      <w:rPr/>
    </w:lvl>
    <w:lvl w:ilvl="1">
      <w:start w:val="1"/>
      <w:numFmt w:val="decimal"/>
      <w:lvlText w:val="%1.%2"/>
      <w:lvlJc w:val="left"/>
      <w:pPr>
        <w:tabs>
          <w:tab w:val="num" w:pos="0"/>
        </w:tabs>
        <w:ind w:left="420" w:hanging="420"/>
      </w:pPr>
      <w:rPr>
        <w:b/>
        <w:bCs/>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decimal"/>
      <w:lvlText w:val="%1."/>
      <w:lvlJc w:val="left"/>
      <w:pPr>
        <w:tabs>
          <w:tab w:val="num" w:pos="0"/>
        </w:tabs>
        <w:ind w:left="420" w:hanging="420"/>
      </w:pPr>
      <w:rPr/>
    </w:lvl>
    <w:lvl w:ilvl="1">
      <w:start w:val="1"/>
      <w:numFmt w:val="decimal"/>
      <w:lvlText w:val="%1.%2."/>
      <w:lvlJc w:val="left"/>
      <w:pPr>
        <w:tabs>
          <w:tab w:val="num" w:pos="0"/>
        </w:tabs>
        <w:ind w:left="420" w:hanging="4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5">
    <w:lvl w:ilvl="0">
      <w:start w:val="7"/>
      <w:numFmt w:val="decimal"/>
      <w:lvlText w:val="%1"/>
      <w:lvlJc w:val="left"/>
      <w:pPr>
        <w:tabs>
          <w:tab w:val="num" w:pos="0"/>
        </w:tabs>
        <w:ind w:left="420" w:hanging="360"/>
      </w:pPr>
      <w:rPr/>
    </w:lvl>
    <w:lvl w:ilvl="1">
      <w:start w:val="1"/>
      <w:numFmt w:val="decimal"/>
      <w:lvlText w:val="%1.%2."/>
      <w:lvlJc w:val="left"/>
      <w:pPr>
        <w:tabs>
          <w:tab w:val="num" w:pos="0"/>
        </w:tabs>
        <w:ind w:left="420" w:hanging="360"/>
      </w:pPr>
      <w:rPr/>
    </w:lvl>
    <w:lvl w:ilvl="2">
      <w:start w:val="1"/>
      <w:numFmt w:val="decimal"/>
      <w:lvlText w:val="%1.%2.%3."/>
      <w:lvlJc w:val="left"/>
      <w:pPr>
        <w:tabs>
          <w:tab w:val="num" w:pos="0"/>
        </w:tabs>
        <w:ind w:left="780" w:hanging="720"/>
      </w:pPr>
      <w:rPr/>
    </w:lvl>
    <w:lvl w:ilvl="3">
      <w:start w:val="1"/>
      <w:numFmt w:val="decimal"/>
      <w:lvlText w:val="%1.%2.%3.%4."/>
      <w:lvlJc w:val="left"/>
      <w:pPr>
        <w:tabs>
          <w:tab w:val="num" w:pos="0"/>
        </w:tabs>
        <w:ind w:left="780" w:hanging="720"/>
      </w:pPr>
      <w:rPr/>
    </w:lvl>
    <w:lvl w:ilvl="4">
      <w:start w:val="1"/>
      <w:numFmt w:val="decimal"/>
      <w:lvlText w:val="%1.%2.%3.%4.%5."/>
      <w:lvlJc w:val="left"/>
      <w:pPr>
        <w:tabs>
          <w:tab w:val="num" w:pos="0"/>
        </w:tabs>
        <w:ind w:left="1140" w:hanging="1080"/>
      </w:pPr>
      <w:rPr/>
    </w:lvl>
    <w:lvl w:ilvl="5">
      <w:start w:val="1"/>
      <w:numFmt w:val="decimal"/>
      <w:lvlText w:val="%1.%2.%3.%4.%5.%6."/>
      <w:lvlJc w:val="left"/>
      <w:pPr>
        <w:tabs>
          <w:tab w:val="num" w:pos="0"/>
        </w:tabs>
        <w:ind w:left="1140" w:hanging="1080"/>
      </w:pPr>
      <w:rPr/>
    </w:lvl>
    <w:lvl w:ilvl="6">
      <w:start w:val="1"/>
      <w:numFmt w:val="decimal"/>
      <w:lvlText w:val="%1.%2.%3.%4.%5.%6.%7."/>
      <w:lvlJc w:val="left"/>
      <w:pPr>
        <w:tabs>
          <w:tab w:val="num" w:pos="0"/>
        </w:tabs>
        <w:ind w:left="1500" w:hanging="1440"/>
      </w:pPr>
      <w:rPr/>
    </w:lvl>
    <w:lvl w:ilvl="7">
      <w:start w:val="1"/>
      <w:numFmt w:val="decimal"/>
      <w:lvlText w:val="%1.%2.%3.%4.%5.%6.%7.%8."/>
      <w:lvlJc w:val="left"/>
      <w:pPr>
        <w:tabs>
          <w:tab w:val="num" w:pos="0"/>
        </w:tabs>
        <w:ind w:left="1500" w:hanging="1440"/>
      </w:pPr>
      <w:rPr/>
    </w:lvl>
    <w:lvl w:ilvl="8">
      <w:start w:val="1"/>
      <w:numFmt w:val="decimal"/>
      <w:lvlText w:val="%1.%2.%3.%4.%5.%6.%7.%8.%9."/>
      <w:lvlJc w:val="left"/>
      <w:pPr>
        <w:tabs>
          <w:tab w:val="num" w:pos="0"/>
        </w:tabs>
        <w:ind w:left="1860" w:hanging="1800"/>
      </w:pPr>
      <w:rPr/>
    </w:lvl>
  </w:abstractNum>
  <w:abstractNum w:abstractNumId="26">
    <w:lvl w:ilvl="0">
      <w:start w:val="1"/>
      <w:numFmt w:val="lowerLetter"/>
      <w:lvlText w:val="%1)"/>
      <w:lvlJc w:val="left"/>
      <w:pPr>
        <w:tabs>
          <w:tab w:val="num" w:pos="0"/>
        </w:tabs>
        <w:ind w:left="1146" w:hanging="360"/>
      </w:pPr>
      <w:rPr/>
    </w:lvl>
    <w:lvl w:ilvl="1">
      <w:start w:val="1"/>
      <w:numFmt w:val="lowerLetter"/>
      <w:lvlText w:val="%2."/>
      <w:lvlJc w:val="left"/>
      <w:pPr>
        <w:tabs>
          <w:tab w:val="num" w:pos="0"/>
        </w:tabs>
        <w:ind w:left="1866" w:hanging="360"/>
      </w:pPr>
      <w:rPr/>
    </w:lvl>
    <w:lvl w:ilvl="2">
      <w:start w:val="1"/>
      <w:numFmt w:val="lowerRoman"/>
      <w:lvlText w:val="%3."/>
      <w:lvlJc w:val="right"/>
      <w:pPr>
        <w:tabs>
          <w:tab w:val="num" w:pos="0"/>
        </w:tabs>
        <w:ind w:left="2586" w:hanging="180"/>
      </w:pPr>
      <w:rPr/>
    </w:lvl>
    <w:lvl w:ilvl="3">
      <w:start w:val="1"/>
      <w:numFmt w:val="decimal"/>
      <w:lvlText w:val="%4."/>
      <w:lvlJc w:val="left"/>
      <w:pPr>
        <w:tabs>
          <w:tab w:val="num" w:pos="0"/>
        </w:tabs>
        <w:ind w:left="3306" w:hanging="360"/>
      </w:pPr>
      <w:rPr/>
    </w:lvl>
    <w:lvl w:ilvl="4">
      <w:start w:val="1"/>
      <w:numFmt w:val="lowerLetter"/>
      <w:lvlText w:val="%5."/>
      <w:lvlJc w:val="left"/>
      <w:pPr>
        <w:tabs>
          <w:tab w:val="num" w:pos="0"/>
        </w:tabs>
        <w:ind w:left="4026" w:hanging="360"/>
      </w:pPr>
      <w:rPr/>
    </w:lvl>
    <w:lvl w:ilvl="5">
      <w:start w:val="1"/>
      <w:numFmt w:val="lowerRoman"/>
      <w:lvlText w:val="%6."/>
      <w:lvlJc w:val="right"/>
      <w:pPr>
        <w:tabs>
          <w:tab w:val="num" w:pos="0"/>
        </w:tabs>
        <w:ind w:left="4746" w:hanging="180"/>
      </w:pPr>
      <w:rPr/>
    </w:lvl>
    <w:lvl w:ilvl="6">
      <w:start w:val="1"/>
      <w:numFmt w:val="decimal"/>
      <w:lvlText w:val="%7."/>
      <w:lvlJc w:val="left"/>
      <w:pPr>
        <w:tabs>
          <w:tab w:val="num" w:pos="0"/>
        </w:tabs>
        <w:ind w:left="5466" w:hanging="360"/>
      </w:pPr>
      <w:rPr/>
    </w:lvl>
    <w:lvl w:ilvl="7">
      <w:start w:val="1"/>
      <w:numFmt w:val="lowerLetter"/>
      <w:lvlText w:val="%8."/>
      <w:lvlJc w:val="left"/>
      <w:pPr>
        <w:tabs>
          <w:tab w:val="num" w:pos="0"/>
        </w:tabs>
        <w:ind w:left="6186" w:hanging="360"/>
      </w:pPr>
      <w:rPr/>
    </w:lvl>
    <w:lvl w:ilvl="8">
      <w:start w:val="1"/>
      <w:numFmt w:val="lowerRoman"/>
      <w:lvlText w:val="%9."/>
      <w:lvlJc w:val="right"/>
      <w:pPr>
        <w:tabs>
          <w:tab w:val="num" w:pos="0"/>
        </w:tabs>
        <w:ind w:left="6906" w:hanging="180"/>
      </w:pPr>
      <w:rPr/>
    </w:lvl>
  </w:abstractNum>
  <w:abstractNum w:abstractNumId="27">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8">
    <w:lvl w:ilvl="0">
      <w:start w:val="1"/>
      <w:numFmt w:val="decimal"/>
      <w:lvlText w:val="%1)"/>
      <w:lvlJc w:val="left"/>
      <w:pPr>
        <w:tabs>
          <w:tab w:val="num" w:pos="0"/>
        </w:tabs>
        <w:ind w:left="780" w:hanging="42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9">
    <w:lvl w:ilvl="0">
      <w:start w:val="1"/>
      <w:numFmt w:val="decimal"/>
      <w:lvlText w:val="%1."/>
      <w:lvlJc w:val="left"/>
      <w:pPr>
        <w:tabs>
          <w:tab w:val="num" w:pos="0"/>
        </w:tabs>
        <w:ind w:left="-66" w:hanging="360"/>
      </w:pPr>
      <w:rPr/>
    </w:lvl>
    <w:lvl w:ilvl="1">
      <w:start w:val="1"/>
      <w:numFmt w:val="lowerLetter"/>
      <w:lvlText w:val="%2."/>
      <w:lvlJc w:val="left"/>
      <w:pPr>
        <w:tabs>
          <w:tab w:val="num" w:pos="0"/>
        </w:tabs>
        <w:ind w:left="654" w:hanging="360"/>
      </w:pPr>
      <w:rPr/>
    </w:lvl>
    <w:lvl w:ilvl="2">
      <w:start w:val="1"/>
      <w:numFmt w:val="lowerRoman"/>
      <w:lvlText w:val="%3."/>
      <w:lvlJc w:val="right"/>
      <w:pPr>
        <w:tabs>
          <w:tab w:val="num" w:pos="0"/>
        </w:tabs>
        <w:ind w:left="1374" w:hanging="180"/>
      </w:pPr>
      <w:rPr/>
    </w:lvl>
    <w:lvl w:ilvl="3">
      <w:start w:val="1"/>
      <w:numFmt w:val="decimal"/>
      <w:lvlText w:val="%4."/>
      <w:lvlJc w:val="left"/>
      <w:pPr>
        <w:tabs>
          <w:tab w:val="num" w:pos="0"/>
        </w:tabs>
        <w:ind w:left="2094" w:hanging="360"/>
      </w:pPr>
      <w:rPr/>
    </w:lvl>
    <w:lvl w:ilvl="4">
      <w:start w:val="1"/>
      <w:numFmt w:val="lowerLetter"/>
      <w:lvlText w:val="%5."/>
      <w:lvlJc w:val="left"/>
      <w:pPr>
        <w:tabs>
          <w:tab w:val="num" w:pos="0"/>
        </w:tabs>
        <w:ind w:left="2814" w:hanging="360"/>
      </w:pPr>
      <w:rPr/>
    </w:lvl>
    <w:lvl w:ilvl="5">
      <w:start w:val="1"/>
      <w:numFmt w:val="lowerRoman"/>
      <w:lvlText w:val="%6."/>
      <w:lvlJc w:val="right"/>
      <w:pPr>
        <w:tabs>
          <w:tab w:val="num" w:pos="0"/>
        </w:tabs>
        <w:ind w:left="3534" w:hanging="180"/>
      </w:pPr>
      <w:rPr/>
    </w:lvl>
    <w:lvl w:ilvl="6">
      <w:start w:val="1"/>
      <w:numFmt w:val="decimal"/>
      <w:lvlText w:val="%7."/>
      <w:lvlJc w:val="left"/>
      <w:pPr>
        <w:tabs>
          <w:tab w:val="num" w:pos="0"/>
        </w:tabs>
        <w:ind w:left="4254" w:hanging="360"/>
      </w:pPr>
      <w:rPr/>
    </w:lvl>
    <w:lvl w:ilvl="7">
      <w:start w:val="1"/>
      <w:numFmt w:val="lowerLetter"/>
      <w:lvlText w:val="%8."/>
      <w:lvlJc w:val="left"/>
      <w:pPr>
        <w:tabs>
          <w:tab w:val="num" w:pos="0"/>
        </w:tabs>
        <w:ind w:left="4974" w:hanging="360"/>
      </w:pPr>
      <w:rPr/>
    </w:lvl>
    <w:lvl w:ilvl="8">
      <w:start w:val="1"/>
      <w:numFmt w:val="lowerRoman"/>
      <w:lvlText w:val="%9."/>
      <w:lvlJc w:val="right"/>
      <w:pPr>
        <w:tabs>
          <w:tab w:val="num" w:pos="0"/>
        </w:tabs>
        <w:ind w:left="5694" w:hanging="180"/>
      </w:pPr>
      <w:rPr/>
    </w:lvl>
  </w:abstractNum>
  <w:abstractNum w:abstractNumId="3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w="http://schemas.openxmlformats.org/wordprocessingml/2006/main">
  <w:zoom w:percent="100"/>
  <w:defaultTabStop w:val="708"/>
  <w:autoHyphenation w:val="true"/>
  <w:hyphenationZone w:val="425"/>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a2813"/>
    <w:pPr>
      <w:widowControl/>
      <w:suppressAutoHyphens w:val="true"/>
      <w:bidi w:val="0"/>
      <w:spacing w:before="0" w:after="0"/>
      <w:jc w:val="left"/>
    </w:pPr>
    <w:rPr>
      <w:rFonts w:ascii="Times New Roman" w:hAnsi="Times New Roman" w:eastAsia="Times New Roman" w:cs="Times New Roman"/>
      <w:color w:val="auto"/>
      <w:kern w:val="0"/>
      <w:sz w:val="20"/>
      <w:szCs w:val="20"/>
      <w:lang w:val="pt-BR" w:eastAsia="pt-BR" w:bidi="ar-SA"/>
    </w:rPr>
  </w:style>
  <w:style w:type="paragraph" w:styleId="Heading1">
    <w:name w:val="Heading 1"/>
    <w:basedOn w:val="Normal"/>
    <w:next w:val="Normal"/>
    <w:link w:val="Ttulo1Char"/>
    <w:uiPriority w:val="1"/>
    <w:qFormat/>
    <w:rsid w:val="008f6e84"/>
    <w:pPr>
      <w:keepNext w:val="true"/>
      <w:outlineLvl w:val="0"/>
    </w:pPr>
    <w:rPr>
      <w:b/>
      <w:sz w:val="24"/>
      <w:szCs w:val="24"/>
    </w:rPr>
  </w:style>
  <w:style w:type="paragraph" w:styleId="Heading2">
    <w:name w:val="Heading 2"/>
    <w:basedOn w:val="Normal"/>
    <w:next w:val="Normal"/>
    <w:link w:val="Ttulo2Char"/>
    <w:uiPriority w:val="1"/>
    <w:unhideWhenUsed/>
    <w:qFormat/>
    <w:rsid w:val="00954939"/>
    <w:pPr>
      <w:keepNext w:val="true"/>
      <w:keepLines/>
      <w:spacing w:before="200" w:after="0"/>
      <w:outlineLvl w:val="1"/>
    </w:pPr>
    <w:rPr>
      <w:rFonts w:ascii="Calibri Light" w:hAnsi="Calibri Light" w:eastAsia="" w:cs="" w:asciiTheme="majorHAnsi" w:cstheme="majorBidi" w:eastAsiaTheme="majorEastAsia" w:hAnsiTheme="majorHAnsi"/>
      <w:b/>
      <w:bCs/>
      <w:color w:themeColor="accent1" w:val="5B9BD5"/>
      <w:sz w:val="26"/>
      <w:szCs w:val="26"/>
    </w:rPr>
  </w:style>
  <w:style w:type="paragraph" w:styleId="Heading3">
    <w:name w:val="Heading 3"/>
    <w:basedOn w:val="Normal"/>
    <w:next w:val="Normal"/>
    <w:link w:val="Ttulo3Char"/>
    <w:uiPriority w:val="9"/>
    <w:unhideWhenUsed/>
    <w:qFormat/>
    <w:rsid w:val="00f6433e"/>
    <w:pPr>
      <w:keepNext w:val="true"/>
      <w:keepLines/>
      <w:spacing w:before="40" w:after="0"/>
      <w:outlineLvl w:val="2"/>
    </w:pPr>
    <w:rPr>
      <w:rFonts w:ascii="Calibri Light" w:hAnsi="Calibri Light" w:eastAsia="" w:cs="" w:asciiTheme="majorHAnsi" w:cstheme="majorBidi" w:eastAsiaTheme="majorEastAsia" w:hAnsiTheme="majorHAnsi"/>
      <w:color w:themeColor="accent1" w:themeShade="7f" w:val="1F4D78"/>
      <w:sz w:val="24"/>
      <w:szCs w:val="24"/>
    </w:rPr>
  </w:style>
  <w:style w:type="paragraph" w:styleId="Heading4">
    <w:name w:val="Heading 4"/>
    <w:basedOn w:val="Normal"/>
    <w:next w:val="Normal"/>
    <w:link w:val="Ttulo4Char"/>
    <w:uiPriority w:val="9"/>
    <w:qFormat/>
    <w:rsid w:val="00f6433e"/>
    <w:pPr>
      <w:keepNext w:val="true"/>
      <w:tabs>
        <w:tab w:val="clear" w:pos="708"/>
        <w:tab w:val="left" w:pos="1701" w:leader="none"/>
      </w:tabs>
      <w:spacing w:before="360" w:after="240"/>
      <w:jc w:val="both"/>
      <w:outlineLvl w:val="3"/>
    </w:pPr>
    <w:rPr>
      <w:b/>
      <w:sz w:val="24"/>
    </w:rPr>
  </w:style>
  <w:style w:type="paragraph" w:styleId="Heading5">
    <w:name w:val="Heading 5"/>
    <w:basedOn w:val="Normal"/>
    <w:next w:val="Normal"/>
    <w:link w:val="Ttulo5Char"/>
    <w:uiPriority w:val="9"/>
    <w:qFormat/>
    <w:rsid w:val="00f6433e"/>
    <w:pPr>
      <w:keepNext w:val="true"/>
      <w:jc w:val="center"/>
      <w:outlineLvl w:val="4"/>
    </w:pPr>
    <w:rPr>
      <w:b/>
      <w:sz w:val="24"/>
    </w:rPr>
  </w:style>
  <w:style w:type="paragraph" w:styleId="Heading6">
    <w:name w:val="Heading 6"/>
    <w:basedOn w:val="Normal"/>
    <w:next w:val="Normal"/>
    <w:link w:val="Ttulo6Char"/>
    <w:uiPriority w:val="9"/>
    <w:qFormat/>
    <w:rsid w:val="00f6433e"/>
    <w:pPr>
      <w:keepNext w:val="true"/>
      <w:jc w:val="both"/>
      <w:outlineLvl w:val="5"/>
    </w:pPr>
    <w:rPr>
      <w:sz w:val="24"/>
    </w:rPr>
  </w:style>
  <w:style w:type="paragraph" w:styleId="Heading7">
    <w:name w:val="Heading 7"/>
    <w:basedOn w:val="Normal"/>
    <w:next w:val="Normal"/>
    <w:link w:val="Ttulo7Char"/>
    <w:uiPriority w:val="9"/>
    <w:qFormat/>
    <w:rsid w:val="00f6433e"/>
    <w:pPr>
      <w:keepNext w:val="true"/>
      <w:jc w:val="both"/>
      <w:outlineLvl w:val="6"/>
    </w:pPr>
    <w:rPr>
      <w:b/>
      <w:color w:val="FF0000"/>
      <w:sz w:val="24"/>
    </w:rPr>
  </w:style>
  <w:style w:type="paragraph" w:styleId="Heading8">
    <w:name w:val="Heading 8"/>
    <w:basedOn w:val="Normal"/>
    <w:next w:val="Normal"/>
    <w:link w:val="Ttulo8Char"/>
    <w:uiPriority w:val="9"/>
    <w:qFormat/>
    <w:rsid w:val="00f6433e"/>
    <w:pPr>
      <w:keepNext w:val="true"/>
      <w:outlineLvl w:val="7"/>
    </w:pPr>
    <w:rPr>
      <w:b/>
      <w:sz w:val="24"/>
    </w:rPr>
  </w:style>
  <w:style w:type="paragraph" w:styleId="Heading9">
    <w:name w:val="Heading 9"/>
    <w:basedOn w:val="Normal"/>
    <w:next w:val="Normal"/>
    <w:link w:val="Ttulo9Char"/>
    <w:uiPriority w:val="9"/>
    <w:qFormat/>
    <w:rsid w:val="00f6433e"/>
    <w:pPr>
      <w:keepNext w:val="true"/>
      <w:tabs>
        <w:tab w:val="clear" w:pos="708"/>
        <w:tab w:val="left" w:pos="1701" w:leader="none"/>
      </w:tabs>
      <w:spacing w:lineRule="exact" w:line="340" w:before="0" w:after="120"/>
      <w:outlineLvl w:val="8"/>
    </w:pPr>
    <w:rPr>
      <w:sz w:val="24"/>
    </w:rPr>
  </w:style>
  <w:style w:type="character" w:styleId="DefaultParagraphFont" w:default="1">
    <w:name w:val="Default Paragraph Font"/>
    <w:uiPriority w:val="1"/>
    <w:semiHidden/>
    <w:unhideWhenUsed/>
    <w:qFormat/>
    <w:rPr/>
  </w:style>
  <w:style w:type="character" w:styleId="CorpodetextoChar" w:customStyle="1">
    <w:name w:val="Corpo de texto Char"/>
    <w:basedOn w:val="DefaultParagraphFont"/>
    <w:qFormat/>
    <w:rsid w:val="00010456"/>
    <w:rPr>
      <w:rFonts w:ascii="Times New Roman" w:hAnsi="Times New Roman" w:eastAsia="Times New Roman" w:cs="Times New Roman"/>
      <w:bCs/>
      <w:color w:val="000000"/>
      <w:sz w:val="28"/>
      <w:szCs w:val="20"/>
      <w:lang w:eastAsia="pt-BR"/>
    </w:rPr>
  </w:style>
  <w:style w:type="character" w:styleId="RecuodecorpodetextoChar" w:customStyle="1">
    <w:name w:val="Recuo de corpo de texto Char"/>
    <w:basedOn w:val="DefaultParagraphFont"/>
    <w:qFormat/>
    <w:rsid w:val="00010456"/>
    <w:rPr>
      <w:rFonts w:ascii="Times New Roman" w:hAnsi="Times New Roman" w:eastAsia="Times New Roman" w:cs="Times New Roman"/>
      <w:sz w:val="24"/>
      <w:szCs w:val="20"/>
      <w:lang w:eastAsia="pt-BR"/>
    </w:rPr>
  </w:style>
  <w:style w:type="character" w:styleId="Corpodetexto2Char" w:customStyle="1">
    <w:name w:val="Corpo de texto 2 Char"/>
    <w:basedOn w:val="DefaultParagraphFont"/>
    <w:link w:val="BodyText2"/>
    <w:uiPriority w:val="99"/>
    <w:qFormat/>
    <w:rsid w:val="00010456"/>
    <w:rPr>
      <w:rFonts w:ascii="Times New Roman" w:hAnsi="Times New Roman" w:eastAsia="Times New Roman" w:cs="Times New Roman"/>
      <w:sz w:val="20"/>
      <w:szCs w:val="20"/>
      <w:lang w:eastAsia="pt-BR"/>
    </w:rPr>
  </w:style>
  <w:style w:type="character" w:styleId="TextodebaloChar" w:customStyle="1">
    <w:name w:val="Texto de balão Char"/>
    <w:basedOn w:val="DefaultParagraphFont"/>
    <w:link w:val="BalloonText"/>
    <w:uiPriority w:val="99"/>
    <w:semiHidden/>
    <w:qFormat/>
    <w:rsid w:val="002738ad"/>
    <w:rPr>
      <w:rFonts w:ascii="Segoe UI" w:hAnsi="Segoe UI" w:eastAsia="Times New Roman" w:cs="Segoe UI"/>
      <w:sz w:val="18"/>
      <w:szCs w:val="18"/>
      <w:lang w:eastAsia="pt-BR"/>
    </w:rPr>
  </w:style>
  <w:style w:type="character" w:styleId="Ttulo1Char" w:customStyle="1">
    <w:name w:val="Título 1 Char"/>
    <w:basedOn w:val="DefaultParagraphFont"/>
    <w:uiPriority w:val="1"/>
    <w:qFormat/>
    <w:rsid w:val="008f6e84"/>
    <w:rPr>
      <w:rFonts w:ascii="Times New Roman" w:hAnsi="Times New Roman" w:eastAsia="Times New Roman" w:cs="Times New Roman"/>
      <w:b/>
      <w:sz w:val="24"/>
      <w:szCs w:val="24"/>
      <w:lang w:eastAsia="pt-BR"/>
    </w:rPr>
  </w:style>
  <w:style w:type="character" w:styleId="SemEspaamentoChar" w:customStyle="1">
    <w:name w:val="Sem Espaçamento Char"/>
    <w:basedOn w:val="DefaultParagraphFont"/>
    <w:link w:val="NoSpacing"/>
    <w:uiPriority w:val="1"/>
    <w:qFormat/>
    <w:rsid w:val="008f6e84"/>
    <w:rPr>
      <w:rFonts w:eastAsia="" w:eastAsiaTheme="minorEastAsia"/>
      <w:sz w:val="20"/>
      <w:szCs w:val="20"/>
    </w:rPr>
  </w:style>
  <w:style w:type="character" w:styleId="Hyperlink">
    <w:name w:val="Hyperlink"/>
    <w:basedOn w:val="DefaultParagraphFont"/>
    <w:rsid w:val="008f6e84"/>
    <w:rPr>
      <w:color w:val="0000FF"/>
      <w:u w:val="single"/>
    </w:rPr>
  </w:style>
  <w:style w:type="character" w:styleId="CabealhoChar" w:customStyle="1">
    <w:name w:val="Cabeçalho Char"/>
    <w:basedOn w:val="DefaultParagraphFont"/>
    <w:uiPriority w:val="99"/>
    <w:qFormat/>
    <w:rsid w:val="005711ea"/>
    <w:rPr>
      <w:rFonts w:ascii="Times New Roman" w:hAnsi="Times New Roman" w:eastAsia="Times New Roman" w:cs="Times New Roman"/>
      <w:sz w:val="20"/>
      <w:szCs w:val="20"/>
      <w:lang w:eastAsia="pt-BR"/>
    </w:rPr>
  </w:style>
  <w:style w:type="character" w:styleId="RodapChar" w:customStyle="1">
    <w:name w:val="Rodapé Char"/>
    <w:basedOn w:val="DefaultParagraphFont"/>
    <w:uiPriority w:val="99"/>
    <w:qFormat/>
    <w:rsid w:val="005711ea"/>
    <w:rPr>
      <w:rFonts w:ascii="Times New Roman" w:hAnsi="Times New Roman" w:eastAsia="Times New Roman" w:cs="Times New Roman"/>
      <w:sz w:val="20"/>
      <w:szCs w:val="20"/>
      <w:lang w:eastAsia="pt-BR"/>
    </w:rPr>
  </w:style>
  <w:style w:type="character" w:styleId="Annotationreference">
    <w:name w:val="annotation reference"/>
    <w:basedOn w:val="DefaultParagraphFont"/>
    <w:uiPriority w:val="99"/>
    <w:unhideWhenUsed/>
    <w:qFormat/>
    <w:rsid w:val="00c83dfd"/>
    <w:rPr>
      <w:sz w:val="16"/>
      <w:szCs w:val="16"/>
    </w:rPr>
  </w:style>
  <w:style w:type="character" w:styleId="TextodecomentrioChar" w:customStyle="1">
    <w:name w:val="Texto de comentário Char"/>
    <w:basedOn w:val="DefaultParagraphFont"/>
    <w:link w:val="Annotationtext"/>
    <w:uiPriority w:val="99"/>
    <w:qFormat/>
    <w:rsid w:val="00c83dfd"/>
    <w:rPr>
      <w:rFonts w:ascii="Times New Roman" w:hAnsi="Times New Roman" w:eastAsia="Times New Roman" w:cs="Times New Roman"/>
      <w:sz w:val="20"/>
      <w:szCs w:val="20"/>
      <w:lang w:eastAsia="pt-BR"/>
    </w:rPr>
  </w:style>
  <w:style w:type="character" w:styleId="AssuntodocomentrioChar" w:customStyle="1">
    <w:name w:val="Assunto do comentário Char"/>
    <w:basedOn w:val="TextodecomentrioChar"/>
    <w:link w:val="Annotationsubject"/>
    <w:uiPriority w:val="99"/>
    <w:qFormat/>
    <w:rsid w:val="00c83dfd"/>
    <w:rPr>
      <w:rFonts w:ascii="Times New Roman" w:hAnsi="Times New Roman" w:eastAsia="Times New Roman" w:cs="Times New Roman"/>
      <w:b/>
      <w:bCs/>
      <w:sz w:val="20"/>
      <w:szCs w:val="20"/>
      <w:lang w:eastAsia="pt-BR"/>
    </w:rPr>
  </w:style>
  <w:style w:type="character" w:styleId="TtuloChar" w:customStyle="1">
    <w:name w:val="Título Char"/>
    <w:basedOn w:val="DefaultParagraphFont"/>
    <w:uiPriority w:val="10"/>
    <w:qFormat/>
    <w:rsid w:val="00b71019"/>
    <w:rPr>
      <w:rFonts w:ascii="Times New Roman" w:hAnsi="Times New Roman" w:eastAsia="Times New Roman" w:cs="Times New Roman"/>
      <w:b/>
      <w:bCs/>
      <w:sz w:val="20"/>
      <w:szCs w:val="20"/>
      <w:lang w:eastAsia="pt-BR"/>
    </w:rPr>
  </w:style>
  <w:style w:type="character" w:styleId="Ttulo2Char" w:customStyle="1">
    <w:name w:val="Título 2 Char"/>
    <w:basedOn w:val="DefaultParagraphFont"/>
    <w:uiPriority w:val="1"/>
    <w:qFormat/>
    <w:rsid w:val="00954939"/>
    <w:rPr>
      <w:rFonts w:ascii="Calibri Light" w:hAnsi="Calibri Light" w:eastAsia="" w:cs="" w:asciiTheme="majorHAnsi" w:cstheme="majorBidi" w:eastAsiaTheme="majorEastAsia" w:hAnsiTheme="majorHAnsi"/>
      <w:b/>
      <w:bCs/>
      <w:color w:themeColor="accent1" w:val="5B9BD5"/>
      <w:sz w:val="26"/>
      <w:szCs w:val="26"/>
      <w:lang w:eastAsia="pt-BR"/>
    </w:rPr>
  </w:style>
  <w:style w:type="character" w:styleId="PargrafodaListaChar" w:customStyle="1">
    <w:name w:val="Parágrafo da Lista Char"/>
    <w:basedOn w:val="DefaultParagraphFont"/>
    <w:link w:val="ListParagraph"/>
    <w:uiPriority w:val="1"/>
    <w:qFormat/>
    <w:rsid w:val="00350ba7"/>
    <w:rPr>
      <w:rFonts w:ascii="Times New Roman" w:hAnsi="Times New Roman" w:eastAsia="Times New Roman" w:cs="Times New Roman"/>
      <w:sz w:val="20"/>
      <w:szCs w:val="20"/>
      <w:lang w:eastAsia="pt-BR"/>
    </w:rPr>
  </w:style>
  <w:style w:type="character" w:styleId="Strong">
    <w:name w:val="Strong"/>
    <w:basedOn w:val="DefaultParagraphFont"/>
    <w:uiPriority w:val="22"/>
    <w:qFormat/>
    <w:rsid w:val="00d77e12"/>
    <w:rPr>
      <w:b/>
      <w:bCs/>
    </w:rPr>
  </w:style>
  <w:style w:type="character" w:styleId="Ttulo3Char" w:customStyle="1">
    <w:name w:val="Título 3 Char"/>
    <w:basedOn w:val="DefaultParagraphFont"/>
    <w:uiPriority w:val="9"/>
    <w:qFormat/>
    <w:rsid w:val="00f6433e"/>
    <w:rPr>
      <w:rFonts w:ascii="Calibri Light" w:hAnsi="Calibri Light" w:eastAsia="" w:cs="" w:asciiTheme="majorHAnsi" w:cstheme="majorBidi" w:eastAsiaTheme="majorEastAsia" w:hAnsiTheme="majorHAnsi"/>
      <w:color w:themeColor="accent1" w:themeShade="7f" w:val="1F4D78"/>
      <w:sz w:val="24"/>
      <w:szCs w:val="24"/>
      <w:lang w:eastAsia="pt-BR"/>
    </w:rPr>
  </w:style>
  <w:style w:type="character" w:styleId="Ttulo4Char" w:customStyle="1">
    <w:name w:val="Título 4 Char"/>
    <w:basedOn w:val="DefaultParagraphFont"/>
    <w:uiPriority w:val="9"/>
    <w:qFormat/>
    <w:rsid w:val="00f6433e"/>
    <w:rPr>
      <w:rFonts w:ascii="Times New Roman" w:hAnsi="Times New Roman" w:eastAsia="Times New Roman" w:cs="Times New Roman"/>
      <w:b/>
      <w:sz w:val="24"/>
      <w:szCs w:val="20"/>
      <w:lang w:eastAsia="pt-BR"/>
    </w:rPr>
  </w:style>
  <w:style w:type="character" w:styleId="Ttulo5Char" w:customStyle="1">
    <w:name w:val="Título 5 Char"/>
    <w:basedOn w:val="DefaultParagraphFont"/>
    <w:uiPriority w:val="9"/>
    <w:qFormat/>
    <w:rsid w:val="00f6433e"/>
    <w:rPr>
      <w:rFonts w:ascii="Times New Roman" w:hAnsi="Times New Roman" w:eastAsia="Times New Roman" w:cs="Times New Roman"/>
      <w:b/>
      <w:sz w:val="24"/>
      <w:szCs w:val="20"/>
      <w:lang w:eastAsia="pt-BR"/>
    </w:rPr>
  </w:style>
  <w:style w:type="character" w:styleId="Ttulo6Char" w:customStyle="1">
    <w:name w:val="Título 6 Char"/>
    <w:basedOn w:val="DefaultParagraphFont"/>
    <w:uiPriority w:val="9"/>
    <w:qFormat/>
    <w:rsid w:val="00f6433e"/>
    <w:rPr>
      <w:rFonts w:ascii="Times New Roman" w:hAnsi="Times New Roman" w:eastAsia="Times New Roman" w:cs="Times New Roman"/>
      <w:sz w:val="24"/>
      <w:szCs w:val="20"/>
      <w:lang w:eastAsia="pt-BR"/>
    </w:rPr>
  </w:style>
  <w:style w:type="character" w:styleId="Ttulo7Char" w:customStyle="1">
    <w:name w:val="Título 7 Char"/>
    <w:basedOn w:val="DefaultParagraphFont"/>
    <w:uiPriority w:val="9"/>
    <w:qFormat/>
    <w:rsid w:val="00f6433e"/>
    <w:rPr>
      <w:rFonts w:ascii="Times New Roman" w:hAnsi="Times New Roman" w:eastAsia="Times New Roman" w:cs="Times New Roman"/>
      <w:b/>
      <w:color w:val="FF0000"/>
      <w:sz w:val="24"/>
      <w:szCs w:val="20"/>
      <w:lang w:eastAsia="pt-BR"/>
    </w:rPr>
  </w:style>
  <w:style w:type="character" w:styleId="Ttulo8Char" w:customStyle="1">
    <w:name w:val="Título 8 Char"/>
    <w:basedOn w:val="DefaultParagraphFont"/>
    <w:uiPriority w:val="9"/>
    <w:qFormat/>
    <w:rsid w:val="00f6433e"/>
    <w:rPr>
      <w:rFonts w:ascii="Times New Roman" w:hAnsi="Times New Roman" w:eastAsia="Times New Roman" w:cs="Times New Roman"/>
      <w:b/>
      <w:sz w:val="24"/>
      <w:szCs w:val="20"/>
      <w:lang w:eastAsia="pt-BR"/>
    </w:rPr>
  </w:style>
  <w:style w:type="character" w:styleId="Ttulo9Char" w:customStyle="1">
    <w:name w:val="Título 9 Char"/>
    <w:basedOn w:val="DefaultParagraphFont"/>
    <w:uiPriority w:val="9"/>
    <w:qFormat/>
    <w:rsid w:val="00f6433e"/>
    <w:rPr>
      <w:rFonts w:ascii="Times New Roman" w:hAnsi="Times New Roman" w:eastAsia="Times New Roman" w:cs="Times New Roman"/>
      <w:sz w:val="24"/>
      <w:szCs w:val="20"/>
      <w:lang w:eastAsia="pt-BR"/>
    </w:rPr>
  </w:style>
  <w:style w:type="character" w:styleId="A0" w:customStyle="1">
    <w:name w:val="A0"/>
    <w:qFormat/>
    <w:rsid w:val="00f6433e"/>
    <w:rPr>
      <w:color w:val="000000"/>
      <w:sz w:val="22"/>
    </w:rPr>
  </w:style>
  <w:style w:type="character" w:styleId="FollowedHyperlink">
    <w:name w:val="FollowedHyperlink"/>
    <w:basedOn w:val="DefaultParagraphFont"/>
    <w:uiPriority w:val="99"/>
    <w:semiHidden/>
    <w:rsid w:val="00f6433e"/>
    <w:rPr>
      <w:rFonts w:cs="Times New Roman"/>
      <w:color w:val="800080"/>
      <w:u w:val="single"/>
    </w:rPr>
  </w:style>
  <w:style w:type="character" w:styleId="TextodenotaderodapChar" w:customStyle="1">
    <w:name w:val="Texto de nota de rodapé Char"/>
    <w:basedOn w:val="DefaultParagraphFont"/>
    <w:uiPriority w:val="99"/>
    <w:semiHidden/>
    <w:qFormat/>
    <w:rsid w:val="00f6433e"/>
    <w:rPr>
      <w:rFonts w:ascii="Times New Roman" w:hAnsi="Times New Roman" w:eastAsia="Times New Roman" w:cs="Times New Roman"/>
      <w:sz w:val="20"/>
      <w:szCs w:val="20"/>
      <w:lang w:eastAsia="pt-BR"/>
    </w:rPr>
  </w:style>
  <w:style w:type="character" w:styleId="Caracteresdenotaderodap" w:customStyle="1">
    <w:name w:val="Caracteres de nota de rodapé"/>
    <w:uiPriority w:val="99"/>
    <w:semiHidden/>
    <w:qFormat/>
    <w:rsid w:val="00f6433e"/>
    <w:rPr>
      <w:rFonts w:cs="Times New Roman"/>
      <w:vertAlign w:val="superscript"/>
    </w:rPr>
  </w:style>
  <w:style w:type="character" w:styleId="FootnoteReference">
    <w:name w:val="Footnote Reference"/>
    <w:rPr>
      <w:rFonts w:cs="Times New Roman"/>
      <w:vertAlign w:val="superscript"/>
    </w:rPr>
  </w:style>
  <w:style w:type="character" w:styleId="Pagenumber">
    <w:name w:val="page number"/>
    <w:basedOn w:val="DefaultParagraphFont"/>
    <w:uiPriority w:val="99"/>
    <w:semiHidden/>
    <w:qFormat/>
    <w:rsid w:val="00f6433e"/>
    <w:rPr>
      <w:rFonts w:cs="Times New Roman"/>
    </w:rPr>
  </w:style>
  <w:style w:type="character" w:styleId="Corpodetexto3Char" w:customStyle="1">
    <w:name w:val="Corpo de texto 3 Char"/>
    <w:basedOn w:val="DefaultParagraphFont"/>
    <w:link w:val="BodyText3"/>
    <w:uiPriority w:val="99"/>
    <w:semiHidden/>
    <w:qFormat/>
    <w:rsid w:val="00f6433e"/>
    <w:rPr>
      <w:rFonts w:ascii="Times New Roman" w:hAnsi="Times New Roman" w:eastAsia="Times New Roman" w:cs="Times New Roman"/>
      <w:strike/>
      <w:color w:val="FF0000"/>
      <w:sz w:val="24"/>
      <w:szCs w:val="20"/>
      <w:lang w:eastAsia="pt-BR"/>
    </w:rPr>
  </w:style>
  <w:style w:type="character" w:styleId="Recuodecorpodetexto2Char" w:customStyle="1">
    <w:name w:val="Recuo de corpo de texto 2 Char"/>
    <w:basedOn w:val="DefaultParagraphFont"/>
    <w:link w:val="BodyTextIndent2"/>
    <w:uiPriority w:val="99"/>
    <w:semiHidden/>
    <w:qFormat/>
    <w:rsid w:val="00f6433e"/>
    <w:rPr>
      <w:rFonts w:ascii="Times New Roman" w:hAnsi="Times New Roman" w:eastAsia="Times New Roman" w:cs="Times New Roman"/>
      <w:strike/>
      <w:sz w:val="24"/>
      <w:szCs w:val="20"/>
      <w:lang w:eastAsia="pt-BR"/>
    </w:rPr>
  </w:style>
  <w:style w:type="character" w:styleId="TextosemFormataoChar" w:customStyle="1">
    <w:name w:val="Texto sem Formatação Char"/>
    <w:basedOn w:val="DefaultParagraphFont"/>
    <w:link w:val="PlainText"/>
    <w:uiPriority w:val="99"/>
    <w:semiHidden/>
    <w:qFormat/>
    <w:rsid w:val="00f6433e"/>
    <w:rPr>
      <w:rFonts w:ascii="Calibri" w:hAnsi="Calibri" w:eastAsia="Times New Roman" w:cs="Consolas"/>
      <w:szCs w:val="21"/>
    </w:rPr>
  </w:style>
  <w:style w:type="character" w:styleId="Apple-converted-space" w:customStyle="1">
    <w:name w:val="apple-converted-space"/>
    <w:qFormat/>
    <w:rsid w:val="00f6433e"/>
    <w:rPr/>
  </w:style>
  <w:style w:type="character" w:styleId="PlaceholderText">
    <w:name w:val="Placeholder Text"/>
    <w:basedOn w:val="DefaultParagraphFont"/>
    <w:uiPriority w:val="99"/>
    <w:semiHidden/>
    <w:qFormat/>
    <w:rsid w:val="00f6433e"/>
    <w:rPr>
      <w:rFonts w:cs="Times New Roman"/>
      <w:color w:val="808080"/>
    </w:rPr>
  </w:style>
  <w:style w:type="character" w:styleId="Estilo7" w:customStyle="1">
    <w:name w:val="Estilo7"/>
    <w:basedOn w:val="DefaultParagraphFont"/>
    <w:uiPriority w:val="1"/>
    <w:qFormat/>
    <w:rsid w:val="00f6433e"/>
    <w:rPr>
      <w:rFonts w:ascii="Times New Roman" w:hAnsi="Times New Roman" w:cs="Times New Roman"/>
      <w:color w:val="auto"/>
      <w:sz w:val="24"/>
    </w:rPr>
  </w:style>
  <w:style w:type="character" w:styleId="Estilo4" w:customStyle="1">
    <w:name w:val="Estilo4"/>
    <w:basedOn w:val="DefaultParagraphFont"/>
    <w:uiPriority w:val="1"/>
    <w:qFormat/>
    <w:rsid w:val="00f6433e"/>
    <w:rPr>
      <w:rFonts w:ascii="Times New Roman" w:hAnsi="Times New Roman" w:cs="Times New Roman"/>
      <w:b/>
      <w:sz w:val="24"/>
    </w:rPr>
  </w:style>
  <w:style w:type="character" w:styleId="Readonlyisolvdescritivo1" w:customStyle="1">
    <w:name w:val="readonlyisolvdescritivo1"/>
    <w:basedOn w:val="DefaultParagraphFont"/>
    <w:qFormat/>
    <w:rsid w:val="00f6433e"/>
    <w:rPr>
      <w:rFonts w:ascii="Verdana" w:hAnsi="Verdana" w:cs="Times New Roman"/>
      <w:color w:val="404040"/>
      <w:sz w:val="16"/>
      <w:szCs w:val="16"/>
      <w:u w:val="none"/>
      <w:effect w:val="none"/>
      <w:shd w:fill="auto" w:val="clear"/>
    </w:rPr>
  </w:style>
  <w:style w:type="character" w:styleId="Titdept1" w:customStyle="1">
    <w:name w:val="tit_dept1"/>
    <w:basedOn w:val="DefaultParagraphFont"/>
    <w:qFormat/>
    <w:rsid w:val="00f6433e"/>
    <w:rPr>
      <w:rFonts w:cs="Times New Roman"/>
      <w:b/>
      <w:bCs/>
      <w:color w:val="333333"/>
      <w:sz w:val="18"/>
      <w:szCs w:val="18"/>
    </w:rPr>
  </w:style>
  <w:style w:type="character" w:styleId="Font1" w:customStyle="1">
    <w:name w:val="font1"/>
    <w:basedOn w:val="DefaultParagraphFont"/>
    <w:qFormat/>
    <w:rsid w:val="00f6433e"/>
    <w:rPr>
      <w:rFonts w:ascii="Verdana" w:hAnsi="Verdana" w:cs="Times New Roman"/>
      <w:color w:val="333333"/>
      <w:sz w:val="14"/>
      <w:szCs w:val="14"/>
    </w:rPr>
  </w:style>
  <w:style w:type="character" w:styleId="Txtproduto" w:customStyle="1">
    <w:name w:val="txtproduto"/>
    <w:basedOn w:val="DefaultParagraphFont"/>
    <w:qFormat/>
    <w:rsid w:val="00f6433e"/>
    <w:rPr>
      <w:rFonts w:cs="Times New Roman"/>
    </w:rPr>
  </w:style>
  <w:style w:type="character" w:styleId="Descagruplongo" w:customStyle="1">
    <w:name w:val="desc_agrup_longo"/>
    <w:basedOn w:val="DefaultParagraphFont"/>
    <w:qFormat/>
    <w:rsid w:val="00f6433e"/>
    <w:rPr>
      <w:rFonts w:cs="Times New Roman"/>
    </w:rPr>
  </w:style>
  <w:style w:type="character" w:styleId="UnresolvedMention">
    <w:name w:val="Unresolved Mention"/>
    <w:basedOn w:val="DefaultParagraphFont"/>
    <w:uiPriority w:val="99"/>
    <w:semiHidden/>
    <w:unhideWhenUsed/>
    <w:qFormat/>
    <w:rsid w:val="00f6433e"/>
    <w:rPr>
      <w:color w:val="605E5C"/>
      <w:shd w:fill="E1DFDD" w:val="clear"/>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qFormat/>
    <w:rsid w:val="00010456"/>
    <w:pPr/>
    <w:rPr>
      <w:bCs/>
      <w:color w:val="000000"/>
      <w:sz w:val="28"/>
    </w:rPr>
  </w:style>
  <w:style w:type="paragraph" w:styleId="List">
    <w:name w:val="List"/>
    <w:basedOn w:val="Normal"/>
    <w:uiPriority w:val="99"/>
    <w:rsid w:val="00f6433e"/>
    <w:pPr>
      <w:ind w:hanging="283" w:left="283"/>
    </w:pPr>
    <w:rPr>
      <w:sz w:val="24"/>
    </w:rPr>
  </w:style>
  <w:style w:type="paragraph" w:styleId="Caption">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Lucida Sans"/>
    </w:rPr>
  </w:style>
  <w:style w:type="paragraph" w:styleId="Title">
    <w:name w:val="Title"/>
    <w:basedOn w:val="Normal"/>
    <w:next w:val="BodyText"/>
    <w:link w:val="TtuloChar"/>
    <w:uiPriority w:val="10"/>
    <w:qFormat/>
    <w:rsid w:val="00b71019"/>
    <w:pPr>
      <w:jc w:val="center"/>
    </w:pPr>
    <w:rPr>
      <w:b/>
      <w:bCs/>
    </w:rPr>
  </w:style>
  <w:style w:type="paragraph" w:styleId="Caption1">
    <w:name w:val="caption1"/>
    <w:basedOn w:val="Normal"/>
    <w:qFormat/>
    <w:pPr>
      <w:suppressLineNumbers/>
      <w:spacing w:before="120" w:after="120"/>
    </w:pPr>
    <w:rPr>
      <w:rFonts w:cs="Lucida Sans"/>
      <w:i/>
      <w:iCs/>
      <w:sz w:val="24"/>
      <w:szCs w:val="24"/>
    </w:rPr>
  </w:style>
  <w:style w:type="paragraph" w:styleId="Caption11" w:customStyle="1">
    <w:name w:val="caption11"/>
    <w:basedOn w:val="Normal"/>
    <w:qFormat/>
    <w:pPr>
      <w:suppressLineNumbers/>
      <w:spacing w:before="120" w:after="120"/>
    </w:pPr>
    <w:rPr>
      <w:rFonts w:cs="Lucida Sans"/>
      <w:i/>
      <w:iCs/>
      <w:sz w:val="24"/>
      <w:szCs w:val="24"/>
    </w:rPr>
  </w:style>
  <w:style w:type="paragraph" w:styleId="Caption111" w:customStyle="1">
    <w:name w:val="caption111"/>
    <w:basedOn w:val="Normal"/>
    <w:qFormat/>
    <w:pPr>
      <w:suppressLineNumbers/>
      <w:spacing w:before="120" w:after="120"/>
    </w:pPr>
    <w:rPr>
      <w:rFonts w:cs="Lucida Sans"/>
      <w:i/>
      <w:iCs/>
      <w:sz w:val="24"/>
      <w:szCs w:val="24"/>
    </w:rPr>
  </w:style>
  <w:style w:type="paragraph" w:styleId="Caption1111" w:customStyle="1">
    <w:name w:val="caption1111"/>
    <w:basedOn w:val="Normal"/>
    <w:qFormat/>
    <w:pPr>
      <w:suppressLineNumbers/>
      <w:spacing w:before="120" w:after="120"/>
    </w:pPr>
    <w:rPr>
      <w:rFonts w:cs="Lucida Sans"/>
      <w:i/>
      <w:iCs/>
      <w:sz w:val="24"/>
      <w:szCs w:val="24"/>
    </w:rPr>
  </w:style>
  <w:style w:type="paragraph" w:styleId="BodyTextIndent">
    <w:name w:val="Body Text Indent"/>
    <w:basedOn w:val="Normal"/>
    <w:link w:val="RecuodecorpodetextoChar"/>
    <w:rsid w:val="00010456"/>
    <w:pPr>
      <w:ind w:left="567"/>
      <w:jc w:val="both"/>
    </w:pPr>
    <w:rPr>
      <w:sz w:val="24"/>
    </w:rPr>
  </w:style>
  <w:style w:type="paragraph" w:styleId="BodyText2">
    <w:name w:val="Body Text 2"/>
    <w:basedOn w:val="Normal"/>
    <w:link w:val="Corpodetexto2Char"/>
    <w:uiPriority w:val="99"/>
    <w:unhideWhenUsed/>
    <w:qFormat/>
    <w:rsid w:val="00010456"/>
    <w:pPr>
      <w:spacing w:lineRule="auto" w:line="480" w:before="0" w:after="120"/>
    </w:pPr>
    <w:rPr/>
  </w:style>
  <w:style w:type="paragraph" w:styleId="BalloonText">
    <w:name w:val="Balloon Text"/>
    <w:basedOn w:val="Normal"/>
    <w:link w:val="TextodebaloChar"/>
    <w:uiPriority w:val="99"/>
    <w:semiHidden/>
    <w:unhideWhenUsed/>
    <w:qFormat/>
    <w:rsid w:val="002738ad"/>
    <w:pPr/>
    <w:rPr>
      <w:rFonts w:ascii="Segoe UI" w:hAnsi="Segoe UI" w:cs="Segoe UI"/>
      <w:sz w:val="18"/>
      <w:szCs w:val="18"/>
    </w:rPr>
  </w:style>
  <w:style w:type="paragraph" w:styleId="NoSpacing">
    <w:name w:val="No Spacing"/>
    <w:basedOn w:val="Normal"/>
    <w:link w:val="SemEspaamentoChar"/>
    <w:uiPriority w:val="1"/>
    <w:qFormat/>
    <w:rsid w:val="008f6e84"/>
    <w:pPr/>
    <w:rPr>
      <w:rFonts w:ascii="Calibri" w:hAnsi="Calibri" w:eastAsia="" w:cs="" w:asciiTheme="minorHAnsi" w:cstheme="minorBidi" w:eastAsiaTheme="minorEastAsia" w:hAnsiTheme="minorHAnsi"/>
      <w:lang w:eastAsia="en-US"/>
    </w:rPr>
  </w:style>
  <w:style w:type="paragraph" w:styleId="NormalWeb">
    <w:name w:val="Normal (Web)"/>
    <w:basedOn w:val="Normal"/>
    <w:uiPriority w:val="99"/>
    <w:qFormat/>
    <w:rsid w:val="008f6e84"/>
    <w:pPr>
      <w:spacing w:before="100" w:after="100"/>
    </w:pPr>
    <w:rPr>
      <w:rFonts w:ascii="Arial" w:hAnsi="Arial" w:cs="Arial"/>
      <w:szCs w:val="24"/>
    </w:rPr>
  </w:style>
  <w:style w:type="paragraph" w:styleId="CabealhoeRodap" w:customStyle="1">
    <w:name w:val="Cabeçalho e Rodapé"/>
    <w:basedOn w:val="Normal"/>
    <w:qFormat/>
    <w:pPr/>
    <w:rPr/>
  </w:style>
  <w:style w:type="paragraph" w:styleId="Header">
    <w:name w:val="Header"/>
    <w:basedOn w:val="Normal"/>
    <w:link w:val="CabealhoChar"/>
    <w:uiPriority w:val="99"/>
    <w:unhideWhenUsed/>
    <w:rsid w:val="005711ea"/>
    <w:pPr>
      <w:tabs>
        <w:tab w:val="clear" w:pos="708"/>
        <w:tab w:val="center" w:pos="4252" w:leader="none"/>
        <w:tab w:val="right" w:pos="8504" w:leader="none"/>
      </w:tabs>
    </w:pPr>
    <w:rPr/>
  </w:style>
  <w:style w:type="paragraph" w:styleId="Footer">
    <w:name w:val="Footer"/>
    <w:basedOn w:val="Normal"/>
    <w:link w:val="RodapChar"/>
    <w:uiPriority w:val="99"/>
    <w:unhideWhenUsed/>
    <w:rsid w:val="005711ea"/>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c83dfd"/>
    <w:pPr/>
    <w:rPr/>
  </w:style>
  <w:style w:type="paragraph" w:styleId="Annotationsubject">
    <w:name w:val="annotation subject"/>
    <w:basedOn w:val="Annotationtext"/>
    <w:next w:val="Annotationtext"/>
    <w:link w:val="AssuntodocomentrioChar"/>
    <w:uiPriority w:val="99"/>
    <w:unhideWhenUsed/>
    <w:qFormat/>
    <w:rsid w:val="00c83dfd"/>
    <w:pPr/>
    <w:rPr>
      <w:b/>
      <w:bCs/>
    </w:rPr>
  </w:style>
  <w:style w:type="paragraph" w:styleId="ListParagraph">
    <w:name w:val="List Paragraph"/>
    <w:basedOn w:val="Normal"/>
    <w:link w:val="PargrafodaListaChar"/>
    <w:uiPriority w:val="34"/>
    <w:qFormat/>
    <w:rsid w:val="00b61bac"/>
    <w:pPr>
      <w:spacing w:before="0" w:after="0"/>
      <w:ind w:left="720"/>
      <w:contextualSpacing/>
    </w:pPr>
    <w:rPr/>
  </w:style>
  <w:style w:type="paragraph" w:styleId="TableParagraph" w:customStyle="1">
    <w:name w:val="Table Paragraph"/>
    <w:basedOn w:val="Normal"/>
    <w:uiPriority w:val="1"/>
    <w:qFormat/>
    <w:rsid w:val="00c57c40"/>
    <w:pPr>
      <w:widowControl w:val="false"/>
    </w:pPr>
    <w:rPr>
      <w:rFonts w:ascii="Arial" w:hAnsi="Arial" w:eastAsia="Arial" w:cs="Arial"/>
      <w:sz w:val="22"/>
      <w:szCs w:val="22"/>
      <w:lang w:val="pt-PT" w:eastAsia="pt-PT" w:bidi="pt-PT"/>
    </w:rPr>
  </w:style>
  <w:style w:type="paragraph" w:styleId="Default" w:customStyle="1">
    <w:name w:val="Default"/>
    <w:qFormat/>
    <w:rsid w:val="00d77e12"/>
    <w:pPr>
      <w:widowControl/>
      <w:suppressAutoHyphens w:val="true"/>
      <w:bidi w:val="0"/>
      <w:spacing w:before="0" w:after="0"/>
      <w:jc w:val="left"/>
    </w:pPr>
    <w:rPr>
      <w:rFonts w:ascii="Times New Roman" w:hAnsi="Times New Roman" w:eastAsia="Calibri" w:cs="Times New Roman"/>
      <w:color w:val="000000"/>
      <w:kern w:val="0"/>
      <w:sz w:val="24"/>
      <w:szCs w:val="24"/>
      <w:lang w:val="pt-BR" w:eastAsia="en-US" w:bidi="ar-SA"/>
    </w:rPr>
  </w:style>
  <w:style w:type="paragraph" w:styleId="Texto" w:customStyle="1">
    <w:name w:val="texto"/>
    <w:qFormat/>
    <w:rsid w:val="00e27235"/>
    <w:pPr>
      <w:widowControl/>
      <w:tabs>
        <w:tab w:val="clear" w:pos="708"/>
        <w:tab w:val="left" w:pos="878" w:leader="none"/>
        <w:tab w:val="left" w:pos="1586" w:leader="none"/>
        <w:tab w:val="left" w:pos="2294" w:leader="none"/>
        <w:tab w:val="left" w:pos="3002" w:leader="none"/>
        <w:tab w:val="left" w:pos="3710" w:leader="none"/>
        <w:tab w:val="left" w:pos="4418" w:leader="none"/>
        <w:tab w:val="left" w:pos="5126" w:leader="none"/>
        <w:tab w:val="left" w:pos="5834" w:leader="none"/>
        <w:tab w:val="left" w:pos="6542" w:leader="none"/>
        <w:tab w:val="left" w:pos="7250" w:leader="none"/>
        <w:tab w:val="left" w:pos="7958" w:leader="none"/>
        <w:tab w:val="left" w:pos="8666" w:leader="none"/>
        <w:tab w:val="left" w:pos="9374" w:leader="none"/>
        <w:tab w:val="left" w:pos="10082" w:leader="none"/>
        <w:tab w:val="left" w:pos="10790" w:leader="none"/>
        <w:tab w:val="left" w:pos="11498" w:leader="none"/>
        <w:tab w:val="left" w:pos="12206" w:leader="none"/>
        <w:tab w:val="left" w:pos="12914" w:leader="none"/>
        <w:tab w:val="left" w:pos="13622" w:leader="none"/>
        <w:tab w:val="left" w:pos="14330" w:leader="none"/>
        <w:tab w:val="left" w:pos="15038" w:leader="none"/>
        <w:tab w:val="left" w:pos="15746" w:leader="none"/>
        <w:tab w:val="left" w:pos="16454" w:leader="none"/>
        <w:tab w:val="left" w:pos="17162" w:leader="none"/>
        <w:tab w:val="left" w:pos="17870" w:leader="none"/>
        <w:tab w:val="left" w:pos="18578" w:leader="none"/>
        <w:tab w:val="left" w:pos="19286" w:leader="none"/>
        <w:tab w:val="left" w:pos="19994" w:leader="none"/>
        <w:tab w:val="left" w:pos="20702" w:leader="none"/>
        <w:tab w:val="left" w:pos="21410" w:leader="none"/>
        <w:tab w:val="left" w:pos="22118" w:leader="none"/>
        <w:tab w:val="left" w:pos="22826" w:leader="none"/>
        <w:tab w:val="left" w:pos="23534" w:leader="none"/>
        <w:tab w:val="left" w:pos="24242" w:leader="none"/>
        <w:tab w:val="left" w:pos="24950" w:leader="none"/>
        <w:tab w:val="left" w:pos="25658" w:leader="none"/>
        <w:tab w:val="left" w:pos="26366" w:leader="none"/>
        <w:tab w:val="left" w:pos="27074" w:leader="none"/>
        <w:tab w:val="left" w:pos="27782" w:leader="none"/>
        <w:tab w:val="left" w:pos="28490" w:leader="none"/>
      </w:tabs>
      <w:suppressAutoHyphens w:val="true"/>
      <w:bidi w:val="0"/>
      <w:spacing w:lineRule="atLeast" w:line="240" w:before="0" w:after="0"/>
      <w:ind w:hanging="170" w:left="170"/>
      <w:jc w:val="both"/>
      <w:textAlignment w:val="baseline"/>
    </w:pPr>
    <w:rPr>
      <w:rFonts w:ascii="Times New Roman" w:hAnsi="Times New Roman" w:eastAsia="Arial" w:cs="Times New Roman"/>
      <w:color w:val="auto"/>
      <w:kern w:val="2"/>
      <w:sz w:val="20"/>
      <w:szCs w:val="20"/>
      <w:lang w:val="pt-BR" w:eastAsia="zh-CN" w:bidi="ar-SA"/>
    </w:rPr>
  </w:style>
  <w:style w:type="paragraph" w:styleId="ContratoTitulo" w:customStyle="1">
    <w:name w:val="ContratoTitulo"/>
    <w:basedOn w:val="Normal"/>
    <w:next w:val="Contrato"/>
    <w:qFormat/>
    <w:rsid w:val="00f6433e"/>
    <w:pPr>
      <w:numPr>
        <w:ilvl w:val="1"/>
        <w:numId w:val="3"/>
      </w:numPr>
      <w:spacing w:before="0" w:after="240"/>
      <w:ind w:hanging="283" w:left="1701"/>
    </w:pPr>
    <w:rPr>
      <w:rFonts w:ascii="Arial" w:hAnsi="Arial"/>
      <w:b/>
      <w:sz w:val="24"/>
    </w:rPr>
  </w:style>
  <w:style w:type="paragraph" w:styleId="Contrato" w:customStyle="1">
    <w:name w:val="Contrato"/>
    <w:basedOn w:val="Normal"/>
    <w:qFormat/>
    <w:rsid w:val="00f6433e"/>
    <w:pPr>
      <w:tabs>
        <w:tab w:val="clear" w:pos="708"/>
        <w:tab w:val="left" w:pos="360" w:leader="none"/>
        <w:tab w:val="left" w:pos="926" w:leader="none"/>
      </w:tabs>
      <w:spacing w:before="0" w:after="240"/>
      <w:ind w:hanging="360" w:left="926"/>
      <w:jc w:val="both"/>
    </w:pPr>
    <w:rPr>
      <w:sz w:val="24"/>
    </w:rPr>
  </w:style>
  <w:style w:type="paragraph" w:styleId="Solon1" w:customStyle="1">
    <w:name w:val="Solon1"/>
    <w:basedOn w:val="Normal"/>
    <w:qFormat/>
    <w:rsid w:val="00f6433e"/>
    <w:pPr>
      <w:numPr>
        <w:ilvl w:val="0"/>
        <w:numId w:val="2"/>
      </w:numPr>
      <w:tabs>
        <w:tab w:val="clear" w:pos="708"/>
        <w:tab w:val="left" w:pos="1134" w:leader="none"/>
        <w:tab w:val="left" w:pos="1209" w:leader="none"/>
      </w:tabs>
      <w:spacing w:before="0" w:after="240"/>
      <w:ind w:hanging="360" w:left="1209"/>
      <w:jc w:val="both"/>
    </w:pPr>
    <w:rPr>
      <w:sz w:val="24"/>
    </w:rPr>
  </w:style>
  <w:style w:type="paragraph" w:styleId="Xl49" w:customStyle="1">
    <w:name w:val="xl49"/>
    <w:basedOn w:val="Normal"/>
    <w:qFormat/>
    <w:rsid w:val="00f6433e"/>
    <w:pPr>
      <w:spacing w:before="100" w:after="100"/>
      <w:jc w:val="center"/>
    </w:pPr>
    <w:rPr>
      <w:rFonts w:ascii="Arial" w:hAnsi="Arial"/>
      <w:b/>
      <w:sz w:val="24"/>
    </w:rPr>
  </w:style>
  <w:style w:type="paragraph" w:styleId="Nvel2" w:customStyle="1">
    <w:name w:val="Nível 2"/>
    <w:basedOn w:val="Normal"/>
    <w:next w:val="Normal"/>
    <w:qFormat/>
    <w:rsid w:val="00f6433e"/>
    <w:pPr>
      <w:spacing w:before="0" w:after="120"/>
      <w:jc w:val="both"/>
    </w:pPr>
    <w:rPr>
      <w:rFonts w:ascii="Arial" w:hAnsi="Arial"/>
      <w:b/>
      <w:sz w:val="24"/>
    </w:rPr>
  </w:style>
  <w:style w:type="paragraph" w:styleId="N21" w:customStyle="1">
    <w:name w:val="N21"/>
    <w:basedOn w:val="Normal"/>
    <w:qFormat/>
    <w:rsid w:val="00f6433e"/>
    <w:pPr>
      <w:spacing w:before="60" w:after="0"/>
      <w:ind w:hanging="425" w:left="2268"/>
      <w:jc w:val="both"/>
    </w:pPr>
    <w:rPr>
      <w:rFonts w:ascii="Arial" w:hAnsi="Arial"/>
    </w:rPr>
  </w:style>
  <w:style w:type="paragraph" w:styleId="Estilo1" w:customStyle="1">
    <w:name w:val="Estilo1"/>
    <w:basedOn w:val="Normal"/>
    <w:qFormat/>
    <w:rsid w:val="00f6433e"/>
    <w:pPr>
      <w:tabs>
        <w:tab w:val="clear" w:pos="708"/>
        <w:tab w:val="left" w:pos="2268" w:leader="none"/>
      </w:tabs>
      <w:ind w:hanging="992" w:left="2410"/>
      <w:jc w:val="both"/>
    </w:pPr>
    <w:rPr>
      <w:sz w:val="24"/>
    </w:rPr>
  </w:style>
  <w:style w:type="paragraph" w:styleId="Blockquote" w:customStyle="1">
    <w:name w:val="Blockquote"/>
    <w:basedOn w:val="Normal"/>
    <w:qFormat/>
    <w:rsid w:val="00f6433e"/>
    <w:pPr>
      <w:spacing w:before="100" w:after="100"/>
      <w:ind w:left="360" w:right="360"/>
    </w:pPr>
    <w:rPr>
      <w:sz w:val="24"/>
    </w:rPr>
  </w:style>
  <w:style w:type="paragraph" w:styleId="N1" w:customStyle="1">
    <w:name w:val="n1"/>
    <w:basedOn w:val="Normal"/>
    <w:qFormat/>
    <w:rsid w:val="00f6433e"/>
    <w:pPr>
      <w:tabs>
        <w:tab w:val="clear" w:pos="708"/>
        <w:tab w:val="left" w:pos="1134" w:leader="none"/>
      </w:tabs>
      <w:spacing w:before="240" w:after="0"/>
      <w:jc w:val="both"/>
    </w:pPr>
    <w:rPr>
      <w:rFonts w:ascii="Arial" w:hAnsi="Arial"/>
    </w:rPr>
  </w:style>
  <w:style w:type="paragraph" w:styleId="FootnoteText">
    <w:name w:val="Footnote Text"/>
    <w:basedOn w:val="Normal"/>
    <w:link w:val="TextodenotaderodapChar"/>
    <w:uiPriority w:val="99"/>
    <w:semiHidden/>
    <w:rsid w:val="00f6433e"/>
    <w:pPr/>
    <w:rPr/>
  </w:style>
  <w:style w:type="paragraph" w:styleId="BodyText3">
    <w:name w:val="Body Text 3"/>
    <w:basedOn w:val="Normal"/>
    <w:link w:val="Corpodetexto3Char"/>
    <w:uiPriority w:val="99"/>
    <w:semiHidden/>
    <w:qFormat/>
    <w:rsid w:val="00f6433e"/>
    <w:pPr>
      <w:tabs>
        <w:tab w:val="clear" w:pos="708"/>
        <w:tab w:val="left" w:pos="1701" w:leader="none"/>
      </w:tabs>
      <w:spacing w:lineRule="exact" w:line="340" w:before="0" w:after="120"/>
    </w:pPr>
    <w:rPr>
      <w:strike/>
      <w:color w:val="FF0000"/>
      <w:sz w:val="24"/>
    </w:rPr>
  </w:style>
  <w:style w:type="paragraph" w:styleId="BodyTextIndent2">
    <w:name w:val="Body Text Indent 2"/>
    <w:basedOn w:val="Normal"/>
    <w:link w:val="Recuodecorpodetexto2Char"/>
    <w:uiPriority w:val="99"/>
    <w:semiHidden/>
    <w:qFormat/>
    <w:rsid w:val="00f6433e"/>
    <w:pPr>
      <w:ind w:firstLine="1560"/>
      <w:jc w:val="both"/>
    </w:pPr>
    <w:rPr>
      <w:strike/>
      <w:sz w:val="24"/>
    </w:rPr>
  </w:style>
  <w:style w:type="paragraph" w:styleId="BlockText">
    <w:name w:val="Block Text"/>
    <w:basedOn w:val="Normal"/>
    <w:uiPriority w:val="99"/>
    <w:semiHidden/>
    <w:qFormat/>
    <w:rsid w:val="00f6433e"/>
    <w:pPr>
      <w:tabs>
        <w:tab w:val="clear" w:pos="708"/>
        <w:tab w:val="left" w:pos="1276" w:leader="none"/>
      </w:tabs>
      <w:ind w:hanging="1560" w:left="1560" w:right="2"/>
      <w:jc w:val="both"/>
    </w:pPr>
    <w:rPr>
      <w:sz w:val="24"/>
    </w:rPr>
  </w:style>
  <w:style w:type="paragraph" w:styleId="Cabealho" w:customStyle="1">
    <w:name w:val="#Cabeçalho"/>
    <w:basedOn w:val="Normal"/>
    <w:qFormat/>
    <w:rsid w:val="00f6433e"/>
    <w:pPr>
      <w:spacing w:lineRule="exact" w:line="220"/>
      <w:jc w:val="both"/>
    </w:pPr>
    <w:rPr>
      <w:sz w:val="18"/>
    </w:rPr>
  </w:style>
  <w:style w:type="paragraph" w:styleId="WW-Corpodetexto3" w:customStyle="1">
    <w:name w:val="WW-Corpo de texto 3"/>
    <w:basedOn w:val="Normal"/>
    <w:qFormat/>
    <w:rsid w:val="00f6433e"/>
    <w:pPr>
      <w:widowControl w:val="false"/>
      <w:jc w:val="both"/>
    </w:pPr>
    <w:rPr>
      <w:rFonts w:ascii="Arial" w:hAnsi="Arial"/>
      <w:sz w:val="24"/>
    </w:rPr>
  </w:style>
  <w:style w:type="paragraph" w:styleId="PlainText">
    <w:name w:val="Plain Text"/>
    <w:basedOn w:val="Normal"/>
    <w:link w:val="TextosemFormataoChar"/>
    <w:uiPriority w:val="99"/>
    <w:semiHidden/>
    <w:unhideWhenUsed/>
    <w:qFormat/>
    <w:rsid w:val="00f6433e"/>
    <w:pPr/>
    <w:rPr>
      <w:rFonts w:ascii="Calibri" w:hAnsi="Calibri" w:cs="Consolas"/>
      <w:sz w:val="22"/>
      <w:szCs w:val="21"/>
      <w:lang w:eastAsia="en-US"/>
    </w:rPr>
  </w:style>
  <w:style w:type="paragraph" w:styleId="Exptxtinicial" w:customStyle="1">
    <w:name w:val="exp_txt_inicial"/>
    <w:basedOn w:val="Normal"/>
    <w:qFormat/>
    <w:rsid w:val="00f6433e"/>
    <w:pPr>
      <w:tabs>
        <w:tab w:val="clear" w:pos="708"/>
        <w:tab w:val="right" w:pos="10206" w:leader="none"/>
      </w:tabs>
      <w:spacing w:before="0" w:after="240"/>
    </w:pPr>
    <w:rPr>
      <w:spacing w:val="-5"/>
      <w:sz w:val="24"/>
    </w:rPr>
  </w:style>
  <w:style w:type="paragraph" w:styleId="Xl310" w:customStyle="1">
    <w:name w:val="xl310"/>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sz w:val="22"/>
      <w:szCs w:val="22"/>
    </w:rPr>
  </w:style>
  <w:style w:type="paragraph" w:styleId="Xl311" w:customStyle="1">
    <w:name w:val="xl311"/>
    <w:basedOn w:val="Normal"/>
    <w:qFormat/>
    <w:rsid w:val="00f6433e"/>
    <w:pPr>
      <w:pBdr>
        <w:top w:val="single" w:sz="4" w:space="0" w:color="000000"/>
        <w:bottom w:val="single" w:sz="4" w:space="0" w:color="000000"/>
      </w:pBdr>
      <w:spacing w:beforeAutospacing="1" w:afterAutospacing="1"/>
      <w:textAlignment w:val="center"/>
    </w:pPr>
    <w:rPr>
      <w:rFonts w:ascii="Calibri" w:hAnsi="Calibri"/>
      <w:sz w:val="22"/>
      <w:szCs w:val="22"/>
    </w:rPr>
  </w:style>
  <w:style w:type="paragraph" w:styleId="Xl312" w:customStyle="1">
    <w:name w:val="xl312"/>
    <w:basedOn w:val="Normal"/>
    <w:qFormat/>
    <w:rsid w:val="00f6433e"/>
    <w:pPr>
      <w:spacing w:beforeAutospacing="1" w:afterAutospacing="1"/>
      <w:jc w:val="center"/>
    </w:pPr>
    <w:rPr>
      <w:rFonts w:ascii="Calibri" w:hAnsi="Calibri"/>
      <w:color w:val="000000"/>
      <w:sz w:val="22"/>
      <w:szCs w:val="22"/>
    </w:rPr>
  </w:style>
  <w:style w:type="paragraph" w:styleId="Xl313" w:customStyle="1">
    <w:name w:val="xl313"/>
    <w:basedOn w:val="Normal"/>
    <w:qFormat/>
    <w:rsid w:val="00f6433e"/>
    <w:pPr>
      <w:pBdr>
        <w:top w:val="single" w:sz="4" w:space="0" w:color="000000"/>
      </w:pBdr>
      <w:shd w:val="clear" w:color="000000" w:fill="FFFFFF"/>
      <w:spacing w:beforeAutospacing="1" w:afterAutospacing="1"/>
      <w:jc w:val="center"/>
      <w:textAlignment w:val="center"/>
    </w:pPr>
    <w:rPr>
      <w:rFonts w:ascii="Calibri" w:hAnsi="Calibri"/>
      <w:b/>
      <w:bCs/>
      <w:color w:val="000000"/>
      <w:sz w:val="22"/>
      <w:szCs w:val="22"/>
    </w:rPr>
  </w:style>
  <w:style w:type="paragraph" w:styleId="Xl314" w:customStyle="1">
    <w:name w:val="xl314"/>
    <w:basedOn w:val="Normal"/>
    <w:qFormat/>
    <w:rsid w:val="00f6433e"/>
    <w:pPr>
      <w:pBdr>
        <w:top w:val="single" w:sz="4" w:space="0" w:color="000000"/>
      </w:pBdr>
      <w:shd w:val="clear" w:color="000000" w:fill="FFFFFF"/>
      <w:spacing w:beforeAutospacing="1" w:afterAutospacing="1"/>
      <w:jc w:val="center"/>
      <w:textAlignment w:val="center"/>
    </w:pPr>
    <w:rPr>
      <w:rFonts w:ascii="Calibri" w:hAnsi="Calibri"/>
      <w:b/>
      <w:bCs/>
      <w:color w:val="000000"/>
      <w:sz w:val="22"/>
      <w:szCs w:val="22"/>
    </w:rPr>
  </w:style>
  <w:style w:type="paragraph" w:styleId="Xl315" w:customStyle="1">
    <w:name w:val="xl315"/>
    <w:basedOn w:val="Normal"/>
    <w:qFormat/>
    <w:rsid w:val="00f6433e"/>
    <w:pPr>
      <w:pBdr>
        <w:top w:val="single" w:sz="4" w:space="0" w:color="000000"/>
      </w:pBdr>
      <w:shd w:val="clear" w:color="000000" w:fill="FFFFFF"/>
      <w:spacing w:beforeAutospacing="1" w:afterAutospacing="1"/>
      <w:jc w:val="center"/>
      <w:textAlignment w:val="center"/>
    </w:pPr>
    <w:rPr>
      <w:rFonts w:ascii="Calibri" w:hAnsi="Calibri"/>
      <w:b/>
      <w:bCs/>
      <w:sz w:val="22"/>
      <w:szCs w:val="22"/>
    </w:rPr>
  </w:style>
  <w:style w:type="paragraph" w:styleId="Xl316" w:customStyle="1">
    <w:name w:val="xl316"/>
    <w:basedOn w:val="Normal"/>
    <w:qFormat/>
    <w:rsid w:val="00f6433e"/>
    <w:pPr>
      <w:pBdr>
        <w:top w:val="single" w:sz="4" w:space="0" w:color="000000"/>
      </w:pBdr>
      <w:shd w:val="clear" w:color="000000" w:fill="FFFFFF"/>
      <w:spacing w:beforeAutospacing="1" w:afterAutospacing="1"/>
      <w:jc w:val="center"/>
      <w:textAlignment w:val="center"/>
    </w:pPr>
    <w:rPr>
      <w:rFonts w:ascii="Calibri" w:hAnsi="Calibri"/>
      <w:b/>
      <w:bCs/>
      <w:color w:val="FF0000"/>
      <w:sz w:val="22"/>
      <w:szCs w:val="22"/>
    </w:rPr>
  </w:style>
  <w:style w:type="paragraph" w:styleId="Xl317" w:customStyle="1">
    <w:name w:val="xl317"/>
    <w:basedOn w:val="Normal"/>
    <w:qFormat/>
    <w:rsid w:val="00f6433e"/>
    <w:pPr>
      <w:pBdr>
        <w:top w:val="single" w:sz="4" w:space="0" w:color="000000"/>
      </w:pBdr>
      <w:shd w:val="clear" w:color="000000" w:fill="FFFFFF"/>
      <w:spacing w:beforeAutospacing="1" w:afterAutospacing="1"/>
      <w:jc w:val="center"/>
      <w:textAlignment w:val="center"/>
    </w:pPr>
    <w:rPr>
      <w:rFonts w:ascii="Calibri" w:hAnsi="Calibri"/>
      <w:b/>
      <w:bCs/>
      <w:sz w:val="22"/>
      <w:szCs w:val="22"/>
    </w:rPr>
  </w:style>
  <w:style w:type="paragraph" w:styleId="Xl318" w:customStyle="1">
    <w:name w:val="xl318"/>
    <w:basedOn w:val="Normal"/>
    <w:qFormat/>
    <w:rsid w:val="00f6433e"/>
    <w:pPr>
      <w:pBdr>
        <w:top w:val="single" w:sz="4" w:space="0" w:color="000000"/>
        <w:bottom w:val="single" w:sz="4" w:space="0" w:color="000000"/>
      </w:pBdr>
      <w:shd w:val="clear" w:color="000000" w:fill="FFFFFF"/>
      <w:spacing w:beforeAutospacing="1" w:afterAutospacing="1"/>
      <w:jc w:val="center"/>
      <w:textAlignment w:val="center"/>
    </w:pPr>
    <w:rPr>
      <w:rFonts w:ascii="Calibri" w:hAnsi="Calibri"/>
      <w:sz w:val="22"/>
      <w:szCs w:val="22"/>
    </w:rPr>
  </w:style>
  <w:style w:type="paragraph" w:styleId="Xl319" w:customStyle="1">
    <w:name w:val="xl319"/>
    <w:basedOn w:val="Normal"/>
    <w:qFormat/>
    <w:rsid w:val="00f6433e"/>
    <w:pPr>
      <w:spacing w:beforeAutospacing="1" w:afterAutospacing="1"/>
    </w:pPr>
    <w:rPr>
      <w:rFonts w:ascii="Calibri" w:hAnsi="Calibri"/>
      <w:color w:val="000000"/>
      <w:sz w:val="22"/>
      <w:szCs w:val="22"/>
    </w:rPr>
  </w:style>
  <w:style w:type="paragraph" w:styleId="Xl320" w:customStyle="1">
    <w:name w:val="xl320"/>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sz w:val="22"/>
      <w:szCs w:val="22"/>
    </w:rPr>
  </w:style>
  <w:style w:type="paragraph" w:styleId="Xl321" w:customStyle="1">
    <w:name w:val="xl321"/>
    <w:basedOn w:val="Normal"/>
    <w:qFormat/>
    <w:rsid w:val="00f6433e"/>
    <w:pPr>
      <w:pBdr>
        <w:bottom w:val="single" w:sz="4" w:space="0" w:color="000000"/>
      </w:pBdr>
      <w:spacing w:beforeAutospacing="1" w:afterAutospacing="1"/>
      <w:jc w:val="center"/>
      <w:textAlignment w:val="center"/>
    </w:pPr>
    <w:rPr>
      <w:rFonts w:ascii="Calibri" w:hAnsi="Calibri"/>
      <w:sz w:val="22"/>
      <w:szCs w:val="22"/>
    </w:rPr>
  </w:style>
  <w:style w:type="paragraph" w:styleId="Xl322" w:customStyle="1">
    <w:name w:val="xl322"/>
    <w:basedOn w:val="Normal"/>
    <w:qFormat/>
    <w:rsid w:val="00f6433e"/>
    <w:pPr>
      <w:spacing w:beforeAutospacing="1" w:afterAutospacing="1"/>
      <w:jc w:val="center"/>
      <w:textAlignment w:val="center"/>
    </w:pPr>
    <w:rPr>
      <w:rFonts w:ascii="Calibri" w:hAnsi="Calibri"/>
      <w:color w:val="000000"/>
      <w:sz w:val="22"/>
      <w:szCs w:val="22"/>
    </w:rPr>
  </w:style>
  <w:style w:type="paragraph" w:styleId="Xl323" w:customStyle="1">
    <w:name w:val="xl323"/>
    <w:basedOn w:val="Normal"/>
    <w:qFormat/>
    <w:rsid w:val="00f6433e"/>
    <w:pPr>
      <w:spacing w:beforeAutospacing="1" w:afterAutospacing="1"/>
    </w:pPr>
    <w:rPr>
      <w:rFonts w:ascii="Calibri" w:hAnsi="Calibri"/>
      <w:sz w:val="22"/>
      <w:szCs w:val="22"/>
    </w:rPr>
  </w:style>
  <w:style w:type="paragraph" w:styleId="Xl324" w:customStyle="1">
    <w:name w:val="xl324"/>
    <w:basedOn w:val="Normal"/>
    <w:qFormat/>
    <w:rsid w:val="00f6433e"/>
    <w:pPr>
      <w:spacing w:beforeAutospacing="1" w:afterAutospacing="1"/>
      <w:jc w:val="center"/>
    </w:pPr>
    <w:rPr>
      <w:rFonts w:ascii="Calibri" w:hAnsi="Calibri"/>
      <w:sz w:val="22"/>
      <w:szCs w:val="22"/>
    </w:rPr>
  </w:style>
  <w:style w:type="paragraph" w:styleId="Xl325" w:customStyle="1">
    <w:name w:val="xl325"/>
    <w:basedOn w:val="Normal"/>
    <w:qFormat/>
    <w:rsid w:val="00f6433e"/>
    <w:pPr>
      <w:pBdr>
        <w:top w:val="single" w:sz="4" w:space="0" w:color="000000"/>
        <w:bottom w:val="single" w:sz="4" w:space="0" w:color="000000"/>
      </w:pBdr>
      <w:shd w:val="clear" w:color="000000" w:fill="FFFFFF"/>
      <w:spacing w:beforeAutospacing="1" w:afterAutospacing="1"/>
      <w:jc w:val="center"/>
      <w:textAlignment w:val="center"/>
    </w:pPr>
    <w:rPr>
      <w:rFonts w:ascii="Calibri" w:hAnsi="Calibri"/>
      <w:sz w:val="22"/>
      <w:szCs w:val="22"/>
    </w:rPr>
  </w:style>
  <w:style w:type="paragraph" w:styleId="Xl326" w:customStyle="1">
    <w:name w:val="xl326"/>
    <w:basedOn w:val="Normal"/>
    <w:qFormat/>
    <w:rsid w:val="00f6433e"/>
    <w:pPr>
      <w:spacing w:beforeAutospacing="1" w:afterAutospacing="1"/>
    </w:pPr>
    <w:rPr>
      <w:rFonts w:ascii="Calibri" w:hAnsi="Calibri"/>
      <w:sz w:val="22"/>
      <w:szCs w:val="22"/>
    </w:rPr>
  </w:style>
  <w:style w:type="paragraph" w:styleId="Xl327" w:customStyle="1">
    <w:name w:val="xl327"/>
    <w:basedOn w:val="Normal"/>
    <w:qFormat/>
    <w:rsid w:val="00f6433e"/>
    <w:pPr>
      <w:pBdr>
        <w:top w:val="single" w:sz="4" w:space="0" w:color="000000"/>
        <w:bottom w:val="single" w:sz="4" w:space="0" w:color="000000"/>
      </w:pBdr>
      <w:shd w:val="clear" w:color="000000" w:fill="FFFFFF"/>
      <w:spacing w:beforeAutospacing="1" w:afterAutospacing="1"/>
      <w:textAlignment w:val="center"/>
    </w:pPr>
    <w:rPr>
      <w:rFonts w:ascii="Calibri" w:hAnsi="Calibri"/>
      <w:sz w:val="22"/>
      <w:szCs w:val="22"/>
    </w:rPr>
  </w:style>
  <w:style w:type="paragraph" w:styleId="Xl328" w:customStyle="1">
    <w:name w:val="xl328"/>
    <w:basedOn w:val="Normal"/>
    <w:qFormat/>
    <w:rsid w:val="00f6433e"/>
    <w:pPr>
      <w:pBdr>
        <w:top w:val="single" w:sz="4" w:space="0" w:color="000000"/>
        <w:bottom w:val="single" w:sz="4" w:space="0" w:color="000000"/>
      </w:pBdr>
      <w:spacing w:beforeAutospacing="1" w:afterAutospacing="1"/>
      <w:textAlignment w:val="center"/>
    </w:pPr>
    <w:rPr>
      <w:rFonts w:ascii="Calibri" w:hAnsi="Calibri"/>
      <w:sz w:val="22"/>
      <w:szCs w:val="22"/>
    </w:rPr>
  </w:style>
  <w:style w:type="paragraph" w:styleId="Xl329" w:customStyle="1">
    <w:name w:val="xl329"/>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sz w:val="22"/>
      <w:szCs w:val="22"/>
    </w:rPr>
  </w:style>
  <w:style w:type="paragraph" w:styleId="Xl330" w:customStyle="1">
    <w:name w:val="xl330"/>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color w:val="000000"/>
      <w:sz w:val="22"/>
      <w:szCs w:val="22"/>
    </w:rPr>
  </w:style>
  <w:style w:type="paragraph" w:styleId="Xl331" w:customStyle="1">
    <w:name w:val="xl331"/>
    <w:basedOn w:val="Normal"/>
    <w:qFormat/>
    <w:rsid w:val="00f6433e"/>
    <w:pPr>
      <w:pBdr>
        <w:top w:val="single" w:sz="4" w:space="0" w:color="000000"/>
        <w:bottom w:val="single" w:sz="4" w:space="0" w:color="000000"/>
      </w:pBdr>
      <w:spacing w:beforeAutospacing="1" w:afterAutospacing="1"/>
      <w:textAlignment w:val="center"/>
    </w:pPr>
    <w:rPr>
      <w:rFonts w:ascii="Calibri" w:hAnsi="Calibri"/>
      <w:i/>
      <w:iCs/>
      <w:color w:val="000000"/>
      <w:sz w:val="22"/>
      <w:szCs w:val="22"/>
    </w:rPr>
  </w:style>
  <w:style w:type="paragraph" w:styleId="Xl332" w:customStyle="1">
    <w:name w:val="xl332"/>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color w:val="000000"/>
      <w:sz w:val="22"/>
      <w:szCs w:val="22"/>
    </w:rPr>
  </w:style>
  <w:style w:type="paragraph" w:styleId="Xl333" w:customStyle="1">
    <w:name w:val="xl333"/>
    <w:basedOn w:val="Normal"/>
    <w:qFormat/>
    <w:rsid w:val="00f6433e"/>
    <w:pPr>
      <w:pBdr>
        <w:top w:val="single" w:sz="4" w:space="0" w:color="000000"/>
        <w:bottom w:val="single" w:sz="4" w:space="0" w:color="000000"/>
      </w:pBdr>
      <w:shd w:val="clear" w:color="000000" w:fill="FFFFFF"/>
      <w:spacing w:beforeAutospacing="1" w:afterAutospacing="1"/>
      <w:jc w:val="center"/>
      <w:textAlignment w:val="center"/>
    </w:pPr>
    <w:rPr>
      <w:rFonts w:ascii="Calibri" w:hAnsi="Calibri"/>
      <w:color w:val="000000"/>
      <w:sz w:val="22"/>
      <w:szCs w:val="22"/>
    </w:rPr>
  </w:style>
  <w:style w:type="paragraph" w:styleId="Xl334" w:customStyle="1">
    <w:name w:val="xl334"/>
    <w:basedOn w:val="Normal"/>
    <w:qFormat/>
    <w:rsid w:val="00f6433e"/>
    <w:pPr>
      <w:pBdr>
        <w:top w:val="single" w:sz="4" w:space="0" w:color="000000"/>
        <w:bottom w:val="single" w:sz="4" w:space="0" w:color="000000"/>
      </w:pBdr>
      <w:shd w:val="clear" w:color="000000" w:fill="F2F2F2"/>
      <w:spacing w:beforeAutospacing="1" w:afterAutospacing="1"/>
      <w:jc w:val="center"/>
      <w:textAlignment w:val="center"/>
    </w:pPr>
    <w:rPr>
      <w:rFonts w:ascii="Calibri" w:hAnsi="Calibri"/>
      <w:color w:val="000000"/>
      <w:sz w:val="22"/>
      <w:szCs w:val="22"/>
    </w:rPr>
  </w:style>
  <w:style w:type="paragraph" w:styleId="Xl335" w:customStyle="1">
    <w:name w:val="xl335"/>
    <w:basedOn w:val="Normal"/>
    <w:qFormat/>
    <w:rsid w:val="00f6433e"/>
    <w:pPr>
      <w:pBdr>
        <w:top w:val="single" w:sz="4" w:space="0" w:color="000000"/>
        <w:bottom w:val="single" w:sz="4" w:space="0" w:color="000000"/>
      </w:pBdr>
      <w:shd w:val="clear" w:color="000000" w:fill="FFFFFF"/>
      <w:spacing w:beforeAutospacing="1" w:afterAutospacing="1"/>
      <w:jc w:val="center"/>
      <w:textAlignment w:val="center"/>
    </w:pPr>
    <w:rPr>
      <w:rFonts w:ascii="Calibri" w:hAnsi="Calibri"/>
      <w:sz w:val="22"/>
      <w:szCs w:val="22"/>
    </w:rPr>
  </w:style>
  <w:style w:type="paragraph" w:styleId="Xl336" w:customStyle="1">
    <w:name w:val="xl336"/>
    <w:basedOn w:val="Normal"/>
    <w:qFormat/>
    <w:rsid w:val="00f6433e"/>
    <w:pPr>
      <w:pBdr>
        <w:top w:val="single" w:sz="4" w:space="0" w:color="000000"/>
        <w:bottom w:val="single" w:sz="4" w:space="0" w:color="000000"/>
      </w:pBdr>
      <w:spacing w:beforeAutospacing="1" w:afterAutospacing="1"/>
      <w:textAlignment w:val="center"/>
    </w:pPr>
    <w:rPr>
      <w:rFonts w:ascii="Calibri" w:hAnsi="Calibri"/>
      <w:color w:val="000000"/>
      <w:sz w:val="22"/>
      <w:szCs w:val="22"/>
    </w:rPr>
  </w:style>
  <w:style w:type="paragraph" w:styleId="Xl337" w:customStyle="1">
    <w:name w:val="xl337"/>
    <w:basedOn w:val="Normal"/>
    <w:qFormat/>
    <w:rsid w:val="00f6433e"/>
    <w:pPr>
      <w:pBdr>
        <w:top w:val="single" w:sz="4" w:space="0" w:color="000000"/>
      </w:pBdr>
      <w:spacing w:beforeAutospacing="1" w:afterAutospacing="1"/>
      <w:jc w:val="center"/>
      <w:textAlignment w:val="center"/>
    </w:pPr>
    <w:rPr>
      <w:rFonts w:ascii="Calibri" w:hAnsi="Calibri"/>
      <w:sz w:val="22"/>
      <w:szCs w:val="22"/>
    </w:rPr>
  </w:style>
  <w:style w:type="paragraph" w:styleId="Xl338" w:customStyle="1">
    <w:name w:val="xl338"/>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color w:val="000000"/>
      <w:sz w:val="22"/>
      <w:szCs w:val="22"/>
    </w:rPr>
  </w:style>
  <w:style w:type="paragraph" w:styleId="Xl339" w:customStyle="1">
    <w:name w:val="xl339"/>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sz w:val="22"/>
      <w:szCs w:val="22"/>
    </w:rPr>
  </w:style>
  <w:style w:type="paragraph" w:styleId="Xl340" w:customStyle="1">
    <w:name w:val="xl340"/>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sz w:val="22"/>
      <w:szCs w:val="22"/>
    </w:rPr>
  </w:style>
  <w:style w:type="paragraph" w:styleId="Xl341" w:customStyle="1">
    <w:name w:val="xl341"/>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color w:val="000000"/>
      <w:sz w:val="22"/>
      <w:szCs w:val="22"/>
    </w:rPr>
  </w:style>
  <w:style w:type="paragraph" w:styleId="Xl342" w:customStyle="1">
    <w:name w:val="xl342"/>
    <w:basedOn w:val="Normal"/>
    <w:qFormat/>
    <w:rsid w:val="00f6433e"/>
    <w:pPr>
      <w:pBdr>
        <w:bottom w:val="single" w:sz="4" w:space="0" w:color="000000"/>
      </w:pBdr>
      <w:spacing w:beforeAutospacing="1" w:afterAutospacing="1"/>
      <w:jc w:val="center"/>
      <w:textAlignment w:val="center"/>
    </w:pPr>
    <w:rPr>
      <w:rFonts w:ascii="Calibri" w:hAnsi="Calibri"/>
      <w:color w:val="000000"/>
      <w:sz w:val="22"/>
      <w:szCs w:val="22"/>
    </w:rPr>
  </w:style>
  <w:style w:type="paragraph" w:styleId="Xl343" w:customStyle="1">
    <w:name w:val="xl343"/>
    <w:basedOn w:val="Normal"/>
    <w:qFormat/>
    <w:rsid w:val="00f6433e"/>
    <w:pPr>
      <w:pBdr>
        <w:top w:val="single" w:sz="4" w:space="0" w:color="000000"/>
        <w:bottom w:val="single" w:sz="4" w:space="0" w:color="000000"/>
      </w:pBdr>
      <w:spacing w:beforeAutospacing="1" w:afterAutospacing="1"/>
      <w:textAlignment w:val="center"/>
    </w:pPr>
    <w:rPr>
      <w:rFonts w:ascii="Calibri" w:hAnsi="Calibri"/>
      <w:i/>
      <w:iCs/>
      <w:sz w:val="22"/>
      <w:szCs w:val="22"/>
    </w:rPr>
  </w:style>
  <w:style w:type="paragraph" w:styleId="Xl344" w:customStyle="1">
    <w:name w:val="xl344"/>
    <w:basedOn w:val="Normal"/>
    <w:qFormat/>
    <w:rsid w:val="00f6433e"/>
    <w:pPr>
      <w:pBdr>
        <w:top w:val="single" w:sz="4" w:space="0" w:color="000000"/>
        <w:bottom w:val="single" w:sz="4" w:space="0" w:color="000000"/>
      </w:pBdr>
      <w:spacing w:beforeAutospacing="1" w:afterAutospacing="1"/>
      <w:textAlignment w:val="center"/>
    </w:pPr>
    <w:rPr>
      <w:rFonts w:ascii="Calibri" w:hAnsi="Calibri"/>
      <w:i/>
      <w:iCs/>
      <w:sz w:val="22"/>
      <w:szCs w:val="22"/>
    </w:rPr>
  </w:style>
  <w:style w:type="paragraph" w:styleId="Xl345" w:customStyle="1">
    <w:name w:val="xl345"/>
    <w:basedOn w:val="Normal"/>
    <w:qFormat/>
    <w:rsid w:val="00f6433e"/>
    <w:pPr>
      <w:pBdr>
        <w:top w:val="single" w:sz="4" w:space="0" w:color="000000"/>
        <w:bottom w:val="single" w:sz="4" w:space="0" w:color="000000"/>
      </w:pBdr>
      <w:spacing w:beforeAutospacing="1" w:afterAutospacing="1"/>
      <w:textAlignment w:val="center"/>
    </w:pPr>
    <w:rPr>
      <w:rFonts w:ascii="Calibri" w:hAnsi="Calibri"/>
      <w:color w:val="000000"/>
      <w:sz w:val="22"/>
      <w:szCs w:val="22"/>
    </w:rPr>
  </w:style>
  <w:style w:type="paragraph" w:styleId="Xl346" w:customStyle="1">
    <w:name w:val="xl346"/>
    <w:basedOn w:val="Normal"/>
    <w:qFormat/>
    <w:rsid w:val="00f6433e"/>
    <w:pPr>
      <w:pBdr>
        <w:top w:val="single" w:sz="4" w:space="0" w:color="000000"/>
      </w:pBdr>
      <w:spacing w:beforeAutospacing="1" w:afterAutospacing="1"/>
      <w:jc w:val="center"/>
      <w:textAlignment w:val="center"/>
    </w:pPr>
    <w:rPr>
      <w:rFonts w:ascii="Calibri" w:hAnsi="Calibri"/>
      <w:color w:val="000000"/>
      <w:sz w:val="22"/>
      <w:szCs w:val="22"/>
    </w:rPr>
  </w:style>
  <w:style w:type="paragraph" w:styleId="Xl347" w:customStyle="1">
    <w:name w:val="xl347"/>
    <w:basedOn w:val="Normal"/>
    <w:qFormat/>
    <w:rsid w:val="00f6433e"/>
    <w:pPr>
      <w:pBdr>
        <w:bottom w:val="single" w:sz="4" w:space="0" w:color="000000"/>
      </w:pBdr>
      <w:spacing w:beforeAutospacing="1" w:afterAutospacing="1"/>
      <w:jc w:val="center"/>
      <w:textAlignment w:val="center"/>
    </w:pPr>
    <w:rPr>
      <w:rFonts w:ascii="Calibri" w:hAnsi="Calibri"/>
      <w:sz w:val="22"/>
      <w:szCs w:val="22"/>
    </w:rPr>
  </w:style>
  <w:style w:type="paragraph" w:styleId="Xl348" w:customStyle="1">
    <w:name w:val="xl348"/>
    <w:basedOn w:val="Normal"/>
    <w:qFormat/>
    <w:rsid w:val="00f6433e"/>
    <w:pPr>
      <w:pBdr>
        <w:bottom w:val="single" w:sz="4" w:space="0" w:color="000000"/>
      </w:pBdr>
      <w:shd w:val="clear" w:color="000000" w:fill="D9D9D9"/>
      <w:spacing w:beforeAutospacing="1" w:afterAutospacing="1"/>
      <w:jc w:val="center"/>
      <w:textAlignment w:val="center"/>
    </w:pPr>
    <w:rPr>
      <w:rFonts w:ascii="Calibri" w:hAnsi="Calibri"/>
      <w:b/>
      <w:bCs/>
      <w:color w:val="000000"/>
      <w:sz w:val="22"/>
      <w:szCs w:val="22"/>
    </w:rPr>
  </w:style>
  <w:style w:type="paragraph" w:styleId="Ecmsoheader" w:customStyle="1">
    <w:name w:val="ec_msoheader"/>
    <w:basedOn w:val="Normal"/>
    <w:qFormat/>
    <w:rsid w:val="00f6433e"/>
    <w:pPr>
      <w:spacing w:beforeAutospacing="1" w:afterAutospacing="1"/>
    </w:pPr>
    <w:rPr>
      <w:sz w:val="24"/>
      <w:szCs w:val="24"/>
    </w:rPr>
  </w:style>
  <w:style w:type="paragraph" w:styleId="TiMESINROMAN" w:customStyle="1">
    <w:name w:val="tiMES IN ROMAN"/>
    <w:basedOn w:val="BalloonText"/>
    <w:qFormat/>
    <w:rsid w:val="00f6433e"/>
    <w:pPr>
      <w:jc w:val="both"/>
    </w:pPr>
    <w:rPr>
      <w:rFonts w:ascii="Tahoma" w:hAnsi="Tahoma" w:cs="Tahoma"/>
      <w:color w:val="FF0000"/>
      <w:sz w:val="24"/>
      <w:szCs w:val="24"/>
    </w:rPr>
  </w:style>
  <w:style w:type="paragraph" w:styleId="Ecxmsonormal" w:customStyle="1">
    <w:name w:val="ecxmsonormal"/>
    <w:basedOn w:val="Normal"/>
    <w:qFormat/>
    <w:rsid w:val="00f6433e"/>
    <w:pPr/>
    <w:rPr>
      <w:sz w:val="24"/>
      <w:szCs w:val="24"/>
    </w:rPr>
  </w:style>
  <w:style w:type="paragraph" w:styleId="Xl65" w:customStyle="1">
    <w:name w:val="xl65"/>
    <w:basedOn w:val="Normal"/>
    <w:qFormat/>
    <w:rsid w:val="00f6433e"/>
    <w:pPr>
      <w:spacing w:beforeAutospacing="1" w:afterAutospacing="1"/>
    </w:pPr>
    <w:rPr>
      <w:sz w:val="24"/>
      <w:szCs w:val="24"/>
    </w:rPr>
  </w:style>
  <w:style w:type="paragraph" w:styleId="Xl66" w:customStyle="1">
    <w:name w:val="xl66"/>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styleId="Xl67" w:customStyle="1">
    <w:name w:val="xl67"/>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styleId="Xl68" w:customStyle="1">
    <w:name w:val="xl68"/>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styleId="Xl69" w:customStyle="1">
    <w:name w:val="xl69"/>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styleId="Xl70" w:customStyle="1">
    <w:name w:val="xl70"/>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styleId="Xl63" w:customStyle="1">
    <w:name w:val="xl63"/>
    <w:basedOn w:val="Normal"/>
    <w:qFormat/>
    <w:rsid w:val="00f6433e"/>
    <w:pPr>
      <w:spacing w:beforeAutospacing="1" w:afterAutospacing="1"/>
      <w:textAlignment w:val="center"/>
    </w:pPr>
    <w:rPr>
      <w:rFonts w:ascii="Arial" w:hAnsi="Arial" w:cs="Arial"/>
      <w:sz w:val="18"/>
      <w:szCs w:val="18"/>
    </w:rPr>
  </w:style>
  <w:style w:type="paragraph" w:styleId="Xl64" w:customStyle="1">
    <w:name w:val="xl64"/>
    <w:basedOn w:val="Normal"/>
    <w:qFormat/>
    <w:rsid w:val="00f6433e"/>
    <w:pPr>
      <w:spacing w:beforeAutospacing="1" w:afterAutospacing="1"/>
      <w:jc w:val="center"/>
      <w:textAlignment w:val="center"/>
    </w:pPr>
    <w:rPr>
      <w:rFonts w:ascii="Arial" w:hAnsi="Arial" w:cs="Arial"/>
      <w:sz w:val="18"/>
      <w:szCs w:val="18"/>
    </w:rPr>
  </w:style>
  <w:style w:type="paragraph" w:styleId="Xl71" w:customStyle="1">
    <w:name w:val="xl71"/>
    <w:basedOn w:val="Normal"/>
    <w:qFormat/>
    <w:rsid w:val="00f6433e"/>
    <w:pPr>
      <w:pBdr>
        <w:top w:val="single" w:sz="4" w:space="0" w:color="000000"/>
      </w:pBdr>
      <w:shd w:val="clear" w:color="000000" w:fill="D8D8D8"/>
      <w:spacing w:beforeAutospacing="1" w:afterAutospacing="1"/>
      <w:jc w:val="center"/>
      <w:textAlignment w:val="center"/>
    </w:pPr>
    <w:rPr>
      <w:rFonts w:ascii="Arial" w:hAnsi="Arial" w:cs="Arial"/>
      <w:b/>
      <w:bCs/>
      <w:sz w:val="18"/>
      <w:szCs w:val="18"/>
    </w:rPr>
  </w:style>
  <w:style w:type="paragraph" w:styleId="Xl72" w:customStyle="1">
    <w:name w:val="xl72"/>
    <w:basedOn w:val="Normal"/>
    <w:qFormat/>
    <w:rsid w:val="00f6433e"/>
    <w:pPr>
      <w:pBdr>
        <w:top w:val="single" w:sz="4" w:space="0" w:color="000000"/>
        <w:right w:val="single" w:sz="4" w:space="0" w:color="000000"/>
      </w:pBdr>
      <w:shd w:val="clear" w:color="000000" w:fill="D8D8D8"/>
      <w:spacing w:beforeAutospacing="1" w:afterAutospacing="1"/>
      <w:jc w:val="center"/>
      <w:textAlignment w:val="center"/>
    </w:pPr>
    <w:rPr>
      <w:rFonts w:ascii="Arial" w:hAnsi="Arial" w:cs="Arial"/>
      <w:b/>
      <w:bCs/>
      <w:sz w:val="18"/>
      <w:szCs w:val="18"/>
    </w:rPr>
  </w:style>
  <w:style w:type="paragraph" w:styleId="Xl73" w:customStyle="1">
    <w:name w:val="xl73"/>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styleId="Xl74" w:customStyle="1">
    <w:name w:val="xl74"/>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hAnsi="Arial" w:cs="Arial"/>
      <w:sz w:val="18"/>
      <w:szCs w:val="18"/>
    </w:rPr>
  </w:style>
  <w:style w:type="paragraph" w:styleId="Xl75" w:customStyle="1">
    <w:name w:val="xl75"/>
    <w:basedOn w:val="Normal"/>
    <w:qFormat/>
    <w:rsid w:val="00f6433e"/>
    <w:pPr>
      <w:spacing w:beforeAutospacing="1" w:afterAutospacing="1"/>
      <w:textAlignment w:val="center"/>
    </w:pPr>
    <w:rPr>
      <w:rFonts w:ascii="Arial" w:hAnsi="Arial" w:cs="Arial"/>
      <w:sz w:val="18"/>
      <w:szCs w:val="18"/>
    </w:rPr>
  </w:style>
  <w:style w:type="paragraph" w:styleId="Xl76" w:customStyle="1">
    <w:name w:val="xl76"/>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styleId="Xl77" w:customStyle="1">
    <w:name w:val="xl77"/>
    <w:basedOn w:val="Normal"/>
    <w:qFormat/>
    <w:rsid w:val="00f6433e"/>
    <w:pPr>
      <w:pBdr>
        <w:top w:val="single" w:sz="4" w:space="0" w:color="000000"/>
        <w:left w:val="single" w:sz="4" w:space="0" w:color="000000"/>
        <w:bottom w:val="single" w:sz="4" w:space="0" w:color="000000"/>
      </w:pBdr>
      <w:shd w:val="clear" w:color="000000" w:fill="D8D8D8"/>
      <w:spacing w:beforeAutospacing="1" w:afterAutospacing="1"/>
      <w:jc w:val="center"/>
      <w:textAlignment w:val="center"/>
    </w:pPr>
    <w:rPr>
      <w:rFonts w:ascii="Arial" w:hAnsi="Arial" w:cs="Arial"/>
      <w:b/>
      <w:bCs/>
      <w:sz w:val="18"/>
      <w:szCs w:val="18"/>
    </w:rPr>
  </w:style>
  <w:style w:type="paragraph" w:styleId="Xl78" w:customStyle="1">
    <w:name w:val="xl78"/>
    <w:basedOn w:val="Normal"/>
    <w:qFormat/>
    <w:rsid w:val="00f6433e"/>
    <w:pPr>
      <w:pBdr>
        <w:top w:val="single" w:sz="4" w:space="0" w:color="000000"/>
        <w:bottom w:val="single" w:sz="4" w:space="0" w:color="000000"/>
      </w:pBdr>
      <w:shd w:val="clear" w:color="000000" w:fill="D8D8D8"/>
      <w:spacing w:beforeAutospacing="1" w:afterAutospacing="1"/>
      <w:jc w:val="center"/>
      <w:textAlignment w:val="center"/>
    </w:pPr>
    <w:rPr>
      <w:rFonts w:ascii="Arial" w:hAnsi="Arial" w:cs="Arial"/>
      <w:b/>
      <w:bCs/>
      <w:sz w:val="18"/>
      <w:szCs w:val="18"/>
    </w:rPr>
  </w:style>
  <w:style w:type="paragraph" w:styleId="Xl79" w:customStyle="1">
    <w:name w:val="xl79"/>
    <w:basedOn w:val="Normal"/>
    <w:qFormat/>
    <w:rsid w:val="00f6433e"/>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jc w:val="center"/>
      <w:textAlignment w:val="center"/>
    </w:pPr>
    <w:rPr>
      <w:rFonts w:ascii="Arial" w:hAnsi="Arial" w:cs="Arial"/>
      <w:b/>
      <w:bCs/>
      <w:sz w:val="18"/>
      <w:szCs w:val="18"/>
    </w:rPr>
  </w:style>
  <w:style w:type="paragraph" w:styleId="Masthead" w:customStyle="1">
    <w:name w:val="Masthead"/>
    <w:basedOn w:val="Heading1"/>
    <w:qFormat/>
    <w:rsid w:val="00f6433e"/>
    <w:pPr/>
    <w:rPr>
      <w:rFonts w:ascii="Impact" w:hAnsi="Impact"/>
      <w:b w:val="false"/>
      <w:color w:val="000000"/>
      <w:sz w:val="94"/>
      <w:szCs w:val="20"/>
      <w:lang w:val="en-US"/>
    </w:rPr>
  </w:style>
  <w:style w:type="paragraph" w:styleId="Xl80" w:customStyle="1">
    <w:name w:val="xl80"/>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jc w:val="center"/>
    </w:pPr>
    <w:rPr>
      <w:b/>
      <w:bCs/>
      <w:sz w:val="24"/>
      <w:szCs w:val="24"/>
    </w:rPr>
  </w:style>
  <w:style w:type="paragraph" w:styleId="Standard" w:customStyle="1">
    <w:name w:val="Standard"/>
    <w:qFormat/>
    <w:rsid w:val="00ff6a5d"/>
    <w:pPr>
      <w:widowControl/>
      <w:suppressAutoHyphens w:val="true"/>
      <w:bidi w:val="0"/>
      <w:spacing w:before="0" w:after="0"/>
      <w:jc w:val="left"/>
    </w:pPr>
    <w:rPr>
      <w:rFonts w:ascii="Arial" w:hAnsi="Arial" w:eastAsia="Arial" w:cs="Tahoma"/>
      <w:color w:val="auto"/>
      <w:kern w:val="2"/>
      <w:sz w:val="20"/>
      <w:szCs w:val="24"/>
      <w:lang w:val="pt-BR" w:eastAsia="zh-CN" w:bidi="ar-SA"/>
    </w:rPr>
  </w:style>
  <w:style w:type="paragraph" w:styleId="Contedodoquadro" w:customStyle="1">
    <w:name w:val="Conteúdo do quadro"/>
    <w:basedOn w:val="Normal"/>
    <w:qFormat/>
    <w:pPr/>
    <w:rPr/>
  </w:style>
  <w:style w:type="paragraph" w:styleId="Contedodatabela" w:customStyle="1">
    <w:name w:val="Conteúdo da tabela"/>
    <w:basedOn w:val="Normal"/>
    <w:qFormat/>
    <w:pPr>
      <w:widowControl w:val="false"/>
      <w:suppressLineNumbers/>
    </w:pPr>
    <w:rPr/>
  </w:style>
  <w:style w:type="paragraph" w:styleId="H6" w:customStyle="1">
    <w:name w:val="h6"/>
    <w:basedOn w:val="Normal"/>
    <w:qFormat/>
    <w:rsid w:val="000e1296"/>
    <w:pPr>
      <w:spacing w:beforeAutospacing="1" w:afterAutospacing="1"/>
    </w:pPr>
    <w:rPr>
      <w:sz w:val="24"/>
      <w:szCs w:val="24"/>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59"/>
    <w:rsid w:val="006a04a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1">
    <w:name w:val="Tabela com grade1"/>
    <w:basedOn w:val="Tabelanormal"/>
    <w:uiPriority w:val="59"/>
    <w:rsid w:val="00f6433e"/>
    <w:rPr>
      <w:lang w:eastAsia="pt-B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Normal">
    <w:name w:val="Table Normal"/>
    <w:uiPriority w:val="2"/>
    <w:semiHidden/>
    <w:unhideWhenUsed/>
    <w:qFormat/>
    <w:rsid w:val="00f6433e"/>
    <w:rPr>
      <w:lang w:val="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transparencia.cromt.org.br/" TargetMode="External"/><Relationship Id="rId3" Type="http://schemas.openxmlformats.org/officeDocument/2006/relationships/hyperlink" Target="http://www.cromt.org.br/" TargetMode="External"/><Relationship Id="rId4" Type="http://schemas.openxmlformats.org/officeDocument/2006/relationships/hyperlink" Target="http://www.comprasnet.gov.br/" TargetMode="External"/><Relationship Id="rId5" Type="http://schemas.openxmlformats.org/officeDocument/2006/relationships/hyperlink" Target="http://www.comprasnet.gov.br/" TargetMode="External"/><Relationship Id="rId6" Type="http://schemas.openxmlformats.org/officeDocument/2006/relationships/hyperlink" Target="http://www.comprasnet.gov.br/" TargetMode="External"/><Relationship Id="rId7" Type="http://schemas.openxmlformats.org/officeDocument/2006/relationships/hyperlink" Target="http://www.portaldatransparencia.gov.br/" TargetMode="External"/><Relationship Id="rId8" Type="http://schemas.openxmlformats.org/officeDocument/2006/relationships/hyperlink" Target="http://www.comprasnet.gov.br/" TargetMode="External"/><Relationship Id="rId9" Type="http://schemas.openxmlformats.org/officeDocument/2006/relationships/hyperlink" Target="http://www.comprasnet.gov.br/" TargetMode="External"/><Relationship Id="rId10" Type="http://schemas.openxmlformats.org/officeDocument/2006/relationships/hyperlink" Target="http://www.tst.gov.br/certidao" TargetMode="External"/><Relationship Id="rId11" Type="http://schemas.openxmlformats.org/officeDocument/2006/relationships/hyperlink" Target="http://www.tst.jus.br/certidao" TargetMode="External"/><Relationship Id="rId12" Type="http://schemas.openxmlformats.org/officeDocument/2006/relationships/hyperlink" Target="http://www.comprasnet.gov.br/" TargetMode="External"/><Relationship Id="rId13" Type="http://schemas.openxmlformats.org/officeDocument/2006/relationships/hyperlink" Target="http://www.portaldatransparencia.gov.br/ceis" TargetMode="External"/><Relationship Id="rId14" Type="http://schemas.openxmlformats.org/officeDocument/2006/relationships/hyperlink" Target="http://www.cnj.jus.br/improbidade_adm/consultar_requerido.php" TargetMode="External"/><Relationship Id="rId15" Type="http://schemas.openxmlformats.org/officeDocument/2006/relationships/hyperlink" Target="https://certidoesapf.apps.tcu.gov.br/" TargetMode="External"/><Relationship Id="rId16" Type="http://schemas.openxmlformats.org/officeDocument/2006/relationships/hyperlink" Target="http://www.cromt.org.br/" TargetMode="External"/><Relationship Id="rId17" Type="http://schemas.openxmlformats.org/officeDocument/2006/relationships/hyperlink" Target="http://www.portaldatransparencia.gov.br/ceis" TargetMode="External"/><Relationship Id="rId18" Type="http://schemas.openxmlformats.org/officeDocument/2006/relationships/hyperlink" Target="http://www.cnj.jus.br/improbidade_adm/consultar_requerido.php" TargetMode="External"/><Relationship Id="rId19" Type="http://schemas.openxmlformats.org/officeDocument/2006/relationships/hyperlink" Target="https://certidoesapf.apps.tcu.gov.br/" TargetMode="External"/><Relationship Id="rId20" Type="http://schemas.openxmlformats.org/officeDocument/2006/relationships/hyperlink" Target="mailto:licitacao@cromt.org.br" TargetMode="External"/><Relationship Id="rId21" Type="http://schemas.openxmlformats.org/officeDocument/2006/relationships/hyperlink" Target="mailto:cromt@cromt.org.br" TargetMode="External"/><Relationship Id="rId22" Type="http://schemas.openxmlformats.org/officeDocument/2006/relationships/header" Target="header1.xml"/><Relationship Id="rId23" Type="http://schemas.openxmlformats.org/officeDocument/2006/relationships/footer" Target="footer1.xml"/><Relationship Id="rId24" Type="http://schemas.openxmlformats.org/officeDocument/2006/relationships/image" Target="media/image5.png"/><Relationship Id="rId25" Type="http://schemas.openxmlformats.org/officeDocument/2006/relationships/image" Target="media/image6.png"/><Relationship Id="rId26" Type="http://schemas.openxmlformats.org/officeDocument/2006/relationships/image" Target="media/image7.wmf"/><Relationship Id="rId27" Type="http://schemas.openxmlformats.org/officeDocument/2006/relationships/image" Target="media/image8.wmf"/><Relationship Id="rId28" Type="http://schemas.openxmlformats.org/officeDocument/2006/relationships/image" Target="media/image8.wmf"/><Relationship Id="rId29" Type="http://schemas.openxmlformats.org/officeDocument/2006/relationships/numbering" Target="numbering.xml"/><Relationship Id="rId30" Type="http://schemas.openxmlformats.org/officeDocument/2006/relationships/fontTable" Target="fontTable.xml"/><Relationship Id="rId31" Type="http://schemas.openxmlformats.org/officeDocument/2006/relationships/settings" Target="settings.xml"/><Relationship Id="rId32" Type="http://schemas.openxmlformats.org/officeDocument/2006/relationships/theme" Target="theme/theme1.xml"/><Relationship Id="rId33"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14285-1788-429E-B10A-642AF69E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Application>LibreOffice/7.6.1.2$Windows_X86_64 LibreOffice_project/f5defcebd022c5bc36bbb79be232cb6926d8f674</Application>
  <AppVersion>15.0000</AppVersion>
  <Pages>54</Pages>
  <Words>19468</Words>
  <Characters>112097</Characters>
  <CharactersWithSpaces>131898</CharactersWithSpaces>
  <Paragraphs>1031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2024-02-02T14:50:00Z</dcterms:created>
  <dc:creator>Fi</dc:creator>
  <dc:description/>
  <dc:language>pt-BR</dc:language>
  <cp:lastModifiedBy/>
  <dcterms:modified xsi:type="dcterms:W3CDTF">2024-02-06T11:57:50Z</dcterms:modified>
  <cp:revision>39</cp:revision>
  <dc:subject/>
  <dc:title/>
</cp:coreProperties>
</file>

<file path=docProps/custom.xml><?xml version="1.0" encoding="utf-8"?>
<Properties xmlns="http://schemas.openxmlformats.org/officeDocument/2006/custom-properties" xmlns:vt="http://schemas.openxmlformats.org/officeDocument/2006/docPropsVTypes"/>
</file>